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32" w:type="dxa"/>
        <w:jc w:val="center"/>
        <w:tblBorders>
          <w:top w:val="single" w:sz="5" w:space="0" w:color="B7D6D2"/>
          <w:left w:val="single" w:sz="5" w:space="0" w:color="B7D6D2"/>
          <w:bottom w:val="single" w:sz="5" w:space="0" w:color="B7D6D2"/>
          <w:right w:val="single" w:sz="5" w:space="0" w:color="B7D6D2"/>
          <w:insideH w:val="single" w:sz="5" w:space="0" w:color="B7D6D2"/>
          <w:insideV w:val="single" w:sz="5" w:space="0" w:color="B7D6D2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6F1F01" w14:paraId="4EDF1855" w14:textId="77777777">
        <w:trPr>
          <w:cantSplit/>
          <w:jc w:val="center"/>
        </w:trPr>
        <w:tc>
          <w:tcPr>
            <w:tcW w:w="5298" w:type="dxa"/>
            <w:shd w:val="clear" w:color="auto" w:fill="EAF4F2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F1711AF" w14:textId="77777777" w:rsidR="006F1F01" w:rsidRPr="006B2AFF" w:rsidRDefault="000654D0">
            <w:pPr>
              <w:rPr>
                <w:rFonts w:hint="eastAsia"/>
                <w:lang w:val="pt-BR"/>
              </w:rPr>
            </w:pPr>
            <w:r w:rsidRPr="006B2AFF">
              <w:rPr>
                <w:b/>
                <w:color w:val="173F48"/>
                <w:sz w:val="50"/>
                <w:lang w:val="pt-BR"/>
              </w:rPr>
              <w:t>STS WAVEBOOST</w:t>
            </w:r>
            <w:r w:rsidRPr="006B2AFF">
              <w:rPr>
                <w:lang w:val="pt-BR"/>
              </w:rPr>
              <w:br/>
            </w:r>
            <w:r w:rsidRPr="006B2AFF">
              <w:rPr>
                <w:b/>
                <w:color w:val="2B8A68"/>
                <w:sz w:val="24"/>
                <w:lang w:val="pt-BR"/>
              </w:rPr>
              <w:t>Aditivo de baixo carbono em desenvolvimento para óleo combustível marítimo e bunker</w:t>
            </w:r>
            <w:r w:rsidRPr="006B2AFF">
              <w:rPr>
                <w:lang w:val="pt-BR"/>
              </w:rPr>
              <w:br/>
            </w:r>
            <w:r w:rsidRPr="006B2AFF">
              <w:rPr>
                <w:color w:val="5B6467"/>
                <w:sz w:val="17"/>
                <w:lang w:val="pt-BR"/>
              </w:rPr>
              <w:t>Atomização e combustão avaliadas sob especificação marítima</w:t>
            </w:r>
          </w:p>
        </w:tc>
        <w:tc>
          <w:tcPr>
            <w:tcW w:w="5298" w:type="dxa"/>
            <w:shd w:val="clear" w:color="auto" w:fill="EAF4F2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30E18EE" w14:textId="77777777" w:rsidR="006F1F01" w:rsidRDefault="000654D0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280FB9C" wp14:editId="69415A60">
                  <wp:extent cx="2232000" cy="870480"/>
                  <wp:effectExtent l="0" t="0" r="0" b="0"/>
                  <wp:docPr id="1" name="Picture 1" descr="Identidade visual do produto STS WaveBoost" title="Identidade visual do produto STS Wave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itgreen_badg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000" cy="87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B565B9" w14:textId="77777777" w:rsidR="006F1F01" w:rsidRPr="006B2AFF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  <w:lang w:val="pt-BR"/>
        </w:rPr>
        <w:outlineLvl w:val="0"/>
      </w:pPr>
      <w:r w:rsidRPr="006B2AFF">
        <w:rPr>
          <w:rFonts w:ascii="Aptos Display" w:hAnsi="Aptos Display"/>
          <w:b/>
          <w:color w:val="2F8F98"/>
          <w:sz w:val="26"/>
          <w:lang w:val="pt-BR"/>
        </w:rPr>
        <w:t>DESCRIÇÃO DO PRODUTO</w:t>
      </w:r>
    </w:p>
    <w:p w14:paraId="4D0C49D1" w14:textId="77777777" w:rsidR="006F1F01" w:rsidRPr="006B2AFF" w:rsidRDefault="000654D0">
      <w:pPr>
        <w:spacing w:after="40" w:line="245" w:lineRule="auto"/>
        <w:jc w:val="both"/>
        <w:rPr>
          <w:rFonts w:hint="eastAsia"/>
          <w:lang w:val="pt-BR"/>
        </w:rPr>
      </w:pPr>
      <w:r>
        <w:rPr>
          <w:color w:val="31383A"/>
          <w:lang w:val="pt-BR"/>
        </w:rPr>
        <w:t>STS WaveBoost é um concentrado aditivo em desenvolvimento, derivado de correntes selecionadas do processamento termoquímico de resíduos, para avaliação em óleo combustível marítimo e bunker. A composição e o mecanismo funcional devem ser definidos por cromatografia, propriedades físico-químicas e ensaios reconhecidos.</w:t>
      </w:r>
    </w:p>
    <w:p w14:paraId="6B78A812" w14:textId="77777777" w:rsidR="006F1F01" w:rsidRPr="006B2AFF" w:rsidRDefault="000654D0">
      <w:pPr>
        <w:spacing w:after="40" w:line="245" w:lineRule="auto"/>
        <w:jc w:val="both"/>
        <w:rPr>
          <w:rFonts w:hint="eastAsia"/>
          <w:lang w:val="pt-BR"/>
        </w:rPr>
      </w:pPr>
      <w:r>
        <w:rPr>
          <w:color w:val="31383A"/>
          <w:lang w:val="pt-BR"/>
        </w:rPr>
        <w:t>O produto não é combustível acabado e não está liberado para dosagem comercial. Qualquer uso exige comprovar que a mistura final permanece dentro da especificação vigente, não causa depósitos, corrosão, incompatibilidade, alteração indevida de emissões ou perda de segurança. O aditivo não remove enxofre do combustível; qualquer redução de SOx só pode decorrer de menor enxofre efetivo ou menor consumo comprovado, mantendo conformidade MARPOL Anexo VI.</w:t>
      </w:r>
    </w:p>
    <w:p w14:paraId="0ED4AFE1" w14:textId="77777777" w:rsidR="006F1F01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</w:rPr>
        <w:outlineLvl w:val="0"/>
      </w:pPr>
      <w:r>
        <w:rPr>
          <w:rFonts w:ascii="Aptos Display" w:hAnsi="Aptos Display"/>
          <w:b/>
          <w:color w:val="2F8F98"/>
          <w:sz w:val="26"/>
        </w:rPr>
        <w:t>PRINCIPAIS BENEFÍCIOS</w:t>
      </w:r>
    </w:p>
    <w:tbl>
      <w:tblPr>
        <w:tblW w:w="10432" w:type="dxa"/>
        <w:jc w:val="center"/>
        <w:tblBorders>
          <w:top w:val="single" w:sz="5" w:space="0" w:color="B7D2D0"/>
          <w:left w:val="single" w:sz="5" w:space="0" w:color="B7D2D0"/>
          <w:bottom w:val="single" w:sz="5" w:space="0" w:color="B7D2D0"/>
          <w:right w:val="single" w:sz="5" w:space="0" w:color="B7D2D0"/>
          <w:insideH w:val="single" w:sz="5" w:space="0" w:color="B7D2D0"/>
          <w:insideV w:val="single" w:sz="5" w:space="0" w:color="B7D2D0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6F1F01" w:rsidRPr="00926B7F" w14:paraId="2326B7B1" w14:textId="77777777">
        <w:trPr>
          <w:cantSplit/>
          <w:jc w:val="center"/>
        </w:trPr>
        <w:tc>
          <w:tcPr>
            <w:tcW w:w="5216" w:type="dxa"/>
            <w:shd w:val="clear" w:color="auto" w:fill="EAF4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06C0F9A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Origem circular de corrente termoquímica beneficiada</w:t>
            </w:r>
          </w:p>
        </w:tc>
        <w:tc>
          <w:tcPr>
            <w:tcW w:w="5216" w:type="dxa"/>
            <w:shd w:val="clear" w:color="auto" w:fill="F5F8F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C9F37A7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Desempenho avaliado diretamente em óleo combustível marítimo e bunker</w:t>
            </w:r>
          </w:p>
        </w:tc>
      </w:tr>
      <w:tr w:rsidR="006F1F01" w:rsidRPr="00926B7F" w14:paraId="3D155438" w14:textId="77777777">
        <w:trPr>
          <w:cantSplit/>
          <w:jc w:val="center"/>
        </w:trPr>
        <w:tc>
          <w:tcPr>
            <w:tcW w:w="5216" w:type="dxa"/>
            <w:shd w:val="clear" w:color="auto" w:fill="F5F8F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F61D9B8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Perfil cromatográfico e teor ativo controlados</w:t>
            </w:r>
          </w:p>
        </w:tc>
        <w:tc>
          <w:tcPr>
            <w:tcW w:w="5216" w:type="dxa"/>
            <w:shd w:val="clear" w:color="auto" w:fill="EAF4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EA2836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Compatibilidade físico-química verificada por lote</w:t>
            </w:r>
          </w:p>
        </w:tc>
      </w:tr>
      <w:tr w:rsidR="006F1F01" w:rsidRPr="00926B7F" w14:paraId="7EC34E1B" w14:textId="77777777">
        <w:trPr>
          <w:cantSplit/>
          <w:jc w:val="center"/>
        </w:trPr>
        <w:tc>
          <w:tcPr>
            <w:tcW w:w="5216" w:type="dxa"/>
            <w:shd w:val="clear" w:color="auto" w:fill="EAF4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64CAF73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Resposta medida por Ignição e combustão</w:t>
            </w:r>
          </w:p>
        </w:tc>
        <w:tc>
          <w:tcPr>
            <w:tcW w:w="5216" w:type="dxa"/>
            <w:shd w:val="clear" w:color="auto" w:fill="F5F8F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6F3B713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Dosagem definida por curva e não por valor universal</w:t>
            </w:r>
          </w:p>
        </w:tc>
      </w:tr>
      <w:tr w:rsidR="00AD75CC" w:rsidRPr="00926B7F" w14:paraId="666431AA" w14:textId="77777777">
        <w:trPr>
          <w:cantSplit/>
          <w:jc w:val="center"/>
        </w:trPr>
        <w:tc>
          <w:tcPr>
            <w:tcW w:w="5216" w:type="dxa"/>
            <w:shd w:val="clear" w:color="auto" w:fill="F5F8F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5986BE7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Avaliação de depósitos, corrosão e emissões</w:t>
            </w:r>
          </w:p>
        </w:tc>
        <w:tc>
          <w:tcPr>
            <w:tcW w:w="5216" w:type="dxa"/>
            <w:shd w:val="clear" w:color="auto" w:fill="EAF4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704DC4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Homologação regulatória e pelo fabricante antes do mercado</w:t>
            </w:r>
          </w:p>
        </w:tc>
      </w:tr>
    </w:tbl>
    <w:p w14:paraId="2CD24251" w14:textId="77777777" w:rsidR="006F1F01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</w:rPr>
        <w:outlineLvl w:val="0"/>
      </w:pPr>
      <w:r>
        <w:rPr>
          <w:rFonts w:ascii="Aptos Display" w:hAnsi="Aptos Display"/>
          <w:b/>
          <w:color w:val="2F8F98"/>
          <w:sz w:val="26"/>
        </w:rPr>
        <w:t>INDICAÇÕES DE USO</w:t>
      </w:r>
    </w:p>
    <w:tbl>
      <w:tblPr>
        <w:tblW w:w="10432" w:type="dxa"/>
        <w:jc w:val="center"/>
        <w:tblBorders>
          <w:top w:val="single" w:sz="6" w:space="0" w:color="B7D6D2"/>
          <w:left w:val="single" w:sz="6" w:space="0" w:color="B7D6D2"/>
          <w:bottom w:val="single" w:sz="6" w:space="0" w:color="B7D6D2"/>
          <w:right w:val="single" w:sz="6" w:space="0" w:color="B7D6D2"/>
          <w:insideH w:val="single" w:sz="6" w:space="0" w:color="B7D6D2"/>
          <w:insideV w:val="single" w:sz="6" w:space="0" w:color="B7D6D2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</w:tblGrid>
      <w:tr w:rsidR="006F1F01" w14:paraId="70941A8B" w14:textId="77777777">
        <w:trPr>
          <w:cantSplit/>
          <w:jc w:val="center"/>
          <w:tblHeader w:val="true"/>
        </w:trPr>
        <w:tc>
          <w:tcPr>
            <w:tcW w:w="2649" w:type="dxa"/>
            <w:shd w:val="clear" w:color="auto" w:fill="2F8F9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6E50F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VLSFO</w:t>
            </w:r>
          </w:p>
        </w:tc>
        <w:tc>
          <w:tcPr>
            <w:tcW w:w="2649" w:type="dxa"/>
            <w:shd w:val="clear" w:color="auto" w:fill="2F8F9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CE3CCD" w14:textId="67D8D283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HFO</w:t>
            </w:r>
          </w:p>
        </w:tc>
        <w:tc>
          <w:tcPr>
            <w:tcW w:w="2649" w:type="dxa"/>
            <w:shd w:val="clear" w:color="auto" w:fill="2F8F9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FF61D6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MGO/MDO</w:t>
            </w:r>
          </w:p>
        </w:tc>
        <w:tc>
          <w:tcPr>
            <w:tcW w:w="2649" w:type="dxa"/>
            <w:shd w:val="clear" w:color="auto" w:fill="2F8F9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590EA9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Bancada naval</w:t>
            </w:r>
          </w:p>
        </w:tc>
      </w:tr>
      <w:tr w:rsidR="006F1F01" w:rsidRPr="00926B7F" w14:paraId="47711373" w14:textId="77777777">
        <w:trPr>
          <w:cantSplit/>
          <w:jc w:val="center"/>
        </w:trPr>
        <w:tc>
          <w:tcPr>
            <w:tcW w:w="2649" w:type="dxa"/>
            <w:shd w:val="clear" w:color="auto" w:fill="F5F8F7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7CCB4CB0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173F48"/>
                <w:sz w:val="15"/>
              </w:rPr>
              <w:t>Após compatibilidade</w:t>
            </w:r>
          </w:p>
        </w:tc>
        <w:tc>
          <w:tcPr>
            <w:tcW w:w="2649" w:type="dxa"/>
            <w:shd w:val="clear" w:color="auto" w:fill="F5F8F7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1E4A086E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173F48"/>
                <w:sz w:val="15"/>
              </w:rPr>
              <w:t>Aquecimento e mistura controlados</w:t>
            </w:r>
          </w:p>
        </w:tc>
        <w:tc>
          <w:tcPr>
            <w:tcW w:w="2649" w:type="dxa"/>
            <w:shd w:val="clear" w:color="auto" w:fill="F5F8F7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19322D9E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173F48"/>
                <w:sz w:val="15"/>
              </w:rPr>
              <w:t>Não transferir dose</w:t>
            </w:r>
          </w:p>
        </w:tc>
        <w:tc>
          <w:tcPr>
            <w:tcW w:w="2649" w:type="dxa"/>
            <w:shd w:val="clear" w:color="auto" w:fill="F5F8F7"/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350CCF14" w14:textId="77777777" w:rsidR="006F1F01" w:rsidRPr="006B2AFF" w:rsidRDefault="000654D0">
            <w:pPr>
              <w:spacing w:before="0" w:after="0"/>
              <w:jc w:val="center"/>
              <w:rPr>
                <w:rFonts w:hint="eastAsia"/>
                <w:lang w:val="pt-BR"/>
              </w:rPr>
            </w:pPr>
            <w:r>
              <w:rPr>
                <w:color w:val="173F48"/>
                <w:sz w:val="15"/>
                <w:lang w:val="pt-BR"/>
              </w:rPr>
              <w:t>Motor/queimador instrumentado</w:t>
            </w:r>
          </w:p>
        </w:tc>
      </w:tr>
    </w:tbl>
    <w:p w14:paraId="5803ECCE" w14:textId="77777777" w:rsidR="006F1F01" w:rsidRPr="006B2AFF" w:rsidRDefault="000654D0">
      <w:pPr>
        <w:spacing w:after="0" w:line="247" w:lineRule="auto"/>
        <w:jc w:val="both"/>
        <w:rPr>
          <w:rFonts w:hint="eastAsia"/>
          <w:lang w:val="pt-BR"/>
        </w:rPr>
      </w:pPr>
      <w:r>
        <w:rPr>
          <w:color w:val="31383A"/>
          <w:lang w:val="pt-BR"/>
        </w:rPr>
        <w:t>*Metas preliminares de desenvolvimento. Confirmar por lote, aplicação, equipamento e requisito regulatório antes do uso comercial.</w:t>
      </w:r>
    </w:p>
    <w:p w14:paraId="29A0865C" w14:textId="77777777" w:rsidR="006F1F01" w:rsidRPr="006B2AFF" w:rsidRDefault="000654D0">
      <w:pPr>
        <w:rPr>
          <w:rFonts w:hint="eastAsia"/>
          <w:lang w:val="pt-BR"/>
        </w:rPr>
      </w:pPr>
      <w:r w:rsidRPr="006B2AFF">
        <w:rPr>
          <w:lang w:val="pt-BR"/>
        </w:rPr>
        <w:br w:type="page"/>
      </w:r>
    </w:p>
    <w:p w14:paraId="0E4F4400" w14:textId="77777777" w:rsidR="006F1F01" w:rsidRPr="006B2AFF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  <w:lang w:val="pt-BR"/>
        </w:rPr>
        <w:outlineLvl w:val="0"/>
      </w:pPr>
      <w:r w:rsidRPr="006B2AFF">
        <w:rPr>
          <w:rFonts w:ascii="Aptos Display" w:hAnsi="Aptos Display"/>
          <w:b/>
          <w:color w:val="2F8F98"/>
          <w:sz w:val="26"/>
          <w:lang w:val="pt-BR"/>
        </w:rPr>
        <w:lastRenderedPageBreak/>
        <w:t>FUNÇÕES E MECANISMO DE AÇÃO</w:t>
      </w:r>
    </w:p>
    <w:p w14:paraId="11F07FE8" w14:textId="77777777" w:rsidR="006F1F01" w:rsidRPr="006B2AFF" w:rsidRDefault="000654D0">
      <w:pPr>
        <w:spacing w:after="60" w:line="245" w:lineRule="auto"/>
        <w:jc w:val="both"/>
        <w:rPr>
          <w:rFonts w:hint="eastAsia"/>
          <w:lang w:val="pt-BR"/>
        </w:rPr>
      </w:pPr>
      <w:r>
        <w:rPr>
          <w:color w:val="31383A"/>
          <w:lang w:val="pt-BR"/>
        </w:rPr>
        <w:t>Aditivos podem alterar cinética de ignição, estabilidade, limpeza, lubricidade ou atomização conforme sua química e o combustível. O efeito deve ser atribuído a um mecanismo demonstrado, com curva dose-resposta e controle das propriedades críticas. Para este produto, o indicador central proposto é Ignição e combustão.</w:t>
      </w:r>
    </w:p>
    <w:tbl>
      <w:tblPr>
        <w:tblW w:w="10432" w:type="dxa"/>
        <w:jc w:val="center"/>
        <w:tblBorders>
          <w:top w:val="single" w:sz="6" w:space="0" w:color="B7D6D2"/>
          <w:left w:val="single" w:sz="6" w:space="0" w:color="B7D6D2"/>
          <w:bottom w:val="single" w:sz="6" w:space="0" w:color="B7D6D2"/>
          <w:right w:val="single" w:sz="6" w:space="0" w:color="B7D6D2"/>
          <w:insideH w:val="single" w:sz="6" w:space="0" w:color="B7D6D2"/>
          <w:insideV w:val="single" w:sz="6" w:space="0" w:color="B7D6D2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6F1F01" w:rsidRPr="00926B7F" w14:paraId="3572B316" w14:textId="77777777">
        <w:trPr>
          <w:cantSplit/>
          <w:jc w:val="center"/>
        </w:trPr>
        <w:tc>
          <w:tcPr>
            <w:tcW w:w="5298" w:type="dxa"/>
            <w:shd w:val="clear" w:color="auto" w:fill="EAF4F2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52679AD5" w14:textId="77777777" w:rsidR="006F1F01" w:rsidRPr="006B2AFF" w:rsidRDefault="000654D0">
            <w:pPr>
              <w:spacing w:before="0" w:after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2F8F98"/>
                <w:lang w:val="pt-BR"/>
              </w:rPr>
              <w:t>DESEMPENHO</w:t>
            </w:r>
          </w:p>
          <w:p>
            <w:pPr>
              <w:spacing w:before="0" w:after="0"/>
              <w:jc w:val="both"/>
            </w:pPr>
            <w:r>
              <w:rPr>
                <w:color w:val="31383A"/>
                <w:sz w:val="16"/>
                <w:lang w:val="pt-BR"/>
              </w:rPr>
              <w:t>Avaliação por Ignição e combustão em método reconhecido.</w:t>
            </w:r>
          </w:p>
        </w:tc>
        <w:tc>
          <w:tcPr>
            <w:tcW w:w="5298" w:type="dxa"/>
            <w:shd w:val="clear" w:color="auto" w:fill="F5F8F7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6BABB604" w14:textId="77777777" w:rsidR="006F1F01" w:rsidRPr="006B2AFF" w:rsidRDefault="000654D0">
            <w:pPr>
              <w:spacing w:before="0" w:after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2F8F98"/>
                <w:lang w:val="pt-BR"/>
              </w:rPr>
              <w:t>COMBUSTÃO</w:t>
            </w:r>
          </w:p>
          <w:p>
            <w:pPr>
              <w:spacing w:before="0" w:after="0"/>
              <w:jc w:val="both"/>
            </w:pPr>
            <w:r>
              <w:rPr>
                <w:color w:val="31383A"/>
                <w:sz w:val="16"/>
                <w:lang w:val="pt-BR"/>
              </w:rPr>
              <w:t>Efeito confirmado em bancada, motor ou equipamento homologado.</w:t>
            </w:r>
          </w:p>
        </w:tc>
      </w:tr>
      <w:tr w:rsidR="006F1F01" w:rsidRPr="00926B7F" w14:paraId="53BBC94B" w14:textId="77777777">
        <w:trPr>
          <w:cantSplit/>
          <w:jc w:val="center"/>
        </w:trPr>
        <w:tc>
          <w:tcPr>
            <w:tcW w:w="5298" w:type="dxa"/>
            <w:shd w:val="clear" w:color="auto" w:fill="EAF4F2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0C4D21BF" w14:textId="77777777" w:rsidR="006F1F01" w:rsidRPr="006B2AFF" w:rsidRDefault="000654D0">
            <w:pPr>
              <w:spacing w:before="0" w:after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2F8F98"/>
                <w:lang w:val="pt-BR"/>
              </w:rPr>
              <w:t>DEPÓSITOS</w:t>
            </w:r>
          </w:p>
          <w:p>
            <w:pPr>
              <w:spacing w:before="0" w:after="0"/>
              <w:jc w:val="both"/>
            </w:pPr>
            <w:r>
              <w:rPr>
                <w:color w:val="31383A"/>
                <w:sz w:val="16"/>
                <w:lang w:val="pt-BR"/>
              </w:rPr>
              <w:t>Tendência medida em ensaio específico, sem alegação automática.</w:t>
            </w:r>
          </w:p>
        </w:tc>
        <w:tc>
          <w:tcPr>
            <w:tcW w:w="5298" w:type="dxa"/>
            <w:shd w:val="clear" w:color="auto" w:fill="F5F8F7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06144C32" w14:textId="77777777" w:rsidR="006F1F01" w:rsidRPr="006B2AFF" w:rsidRDefault="000654D0">
            <w:pPr>
              <w:spacing w:before="0" w:after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2F8F98"/>
                <w:lang w:val="pt-BR"/>
              </w:rPr>
              <w:t>ESTABILIDADE</w:t>
            </w:r>
          </w:p>
          <w:p>
            <w:pPr>
              <w:spacing w:before="0" w:after="0"/>
              <w:jc w:val="both"/>
            </w:pPr>
            <w:r>
              <w:rPr>
                <w:color w:val="31383A"/>
                <w:sz w:val="16"/>
                <w:lang w:val="pt-BR"/>
              </w:rPr>
              <w:t>Mistura acompanhada durante armazenamento e envelhecimento.</w:t>
            </w:r>
          </w:p>
        </w:tc>
      </w:tr>
      <w:tr w:rsidR="006F1F01" w:rsidRPr="00926B7F" w14:paraId="2062340C" w14:textId="77777777">
        <w:trPr>
          <w:cantSplit/>
          <w:jc w:val="center"/>
        </w:trPr>
        <w:tc>
          <w:tcPr>
            <w:tcW w:w="5298" w:type="dxa"/>
            <w:shd w:val="clear" w:color="auto" w:fill="EAF4F2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662625C0" w14:textId="77777777" w:rsidR="006F1F01" w:rsidRPr="006B2AFF" w:rsidRDefault="000654D0">
            <w:pPr>
              <w:spacing w:before="0" w:after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2F8F98"/>
                <w:lang w:val="pt-BR"/>
              </w:rPr>
              <w:t>COMPATIBILIDADE</w:t>
            </w:r>
          </w:p>
          <w:p>
            <w:pPr>
              <w:spacing w:before="0" w:after="0"/>
              <w:jc w:val="both"/>
            </w:pPr>
            <w:r>
              <w:rPr>
                <w:color w:val="31383A"/>
                <w:sz w:val="16"/>
                <w:lang w:val="pt-BR"/>
              </w:rPr>
              <w:t>Metais, elastômeros, filtros e demais materiais verificados.</w:t>
            </w:r>
          </w:p>
        </w:tc>
        <w:tc>
          <w:tcPr>
            <w:tcW w:w="5298" w:type="dxa"/>
            <w:shd w:val="clear" w:color="auto" w:fill="F5F8F7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608318FB" w14:textId="77777777" w:rsidR="006F1F01" w:rsidRPr="006B2AFF" w:rsidRDefault="000654D0">
            <w:pPr>
              <w:spacing w:before="0" w:after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2F8F98"/>
                <w:lang w:val="pt-BR"/>
              </w:rPr>
              <w:t>RASTREABILIDADE</w:t>
            </w:r>
          </w:p>
          <w:p>
            <w:pPr>
              <w:spacing w:before="0" w:after="0"/>
              <w:jc w:val="both"/>
            </w:pPr>
            <w:r>
              <w:rPr>
                <w:color w:val="31383A"/>
                <w:sz w:val="16"/>
                <w:lang w:val="pt-BR"/>
              </w:rPr>
              <w:t>Composição, teor ativo, lote e combustível-base registrados.</w:t>
            </w:r>
          </w:p>
        </w:tc>
      </w:tr>
    </w:tbl>
    <w:p w14:paraId="7273622F" w14:textId="77777777" w:rsidR="006F1F01" w:rsidRPr="006B2AFF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  <w:lang w:val="pt-BR"/>
        </w:rPr>
        <w:outlineLvl w:val="0"/>
      </w:pPr>
      <w:r w:rsidRPr="006B2AFF">
        <w:rPr>
          <w:rFonts w:ascii="Aptos Display" w:hAnsi="Aptos Display"/>
          <w:b/>
          <w:color w:val="2F8F98"/>
          <w:sz w:val="26"/>
          <w:lang w:val="pt-BR"/>
        </w:rPr>
        <w:t>PROPRIEDADES FÍSICO-QUÍMICAS TÍPICAS</w:t>
      </w:r>
    </w:p>
    <w:p w14:paraId="4F8A9D42" w14:textId="77777777" w:rsidR="006F1F01" w:rsidRPr="006B2AFF" w:rsidRDefault="000654D0">
      <w:pPr>
        <w:spacing w:after="40" w:line="240" w:lineRule="auto"/>
        <w:jc w:val="both"/>
        <w:rPr>
          <w:rFonts w:hint="eastAsia"/>
          <w:lang w:val="pt-BR"/>
        </w:rPr>
      </w:pPr>
      <w:r>
        <w:rPr>
          <w:i/>
          <w:color w:val="5B6467"/>
          <w:sz w:val="16"/>
          <w:lang w:val="pt-BR"/>
        </w:rPr>
        <w:t>Painel proposto para caracterização, controle de qualidade e homologação. As faixas são referências preliminares e devem ser substituídas pela especificação STS aprovada.</w:t>
      </w:r>
    </w:p>
    <w:tbl>
      <w:tblPr>
        <w:tblW w:w="10432" w:type="dxa"/>
        <w:jc w:val="center"/>
        <w:tblBorders>
          <w:top w:val="single" w:sz="6" w:space="0" w:color="B7D6D2"/>
          <w:left w:val="single" w:sz="6" w:space="0" w:color="B7D6D2"/>
          <w:bottom w:val="single" w:sz="6" w:space="0" w:color="B7D6D2"/>
          <w:right w:val="single" w:sz="6" w:space="0" w:color="B7D6D2"/>
          <w:insideH w:val="single" w:sz="6" w:space="0" w:color="B7D6D2"/>
          <w:insideV w:val="single" w:sz="6" w:space="0" w:color="B7D6D2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3503"/>
        <w:gridCol w:w="3464"/>
      </w:tblGrid>
      <w:tr w:rsidR="006F1F01" w14:paraId="082ACA2F" w14:textId="77777777">
        <w:trPr>
          <w:cantSplit/>
          <w:tblHeader/>
          <w:jc w:val="center"/>
        </w:trPr>
        <w:tc>
          <w:tcPr>
            <w:tcW w:w="3532" w:type="dxa"/>
            <w:shd w:val="clear" w:color="auto" w:fill="173F4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BFD44E" w14:textId="77777777" w:rsidR="006F1F01" w:rsidRDefault="000654D0">
            <w:pPr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FFFFFF"/>
                <w:sz w:val="16"/>
              </w:rPr>
              <w:t>Propriedade</w:t>
            </w:r>
            <w:proofErr w:type="spellEnd"/>
          </w:p>
        </w:tc>
        <w:tc>
          <w:tcPr>
            <w:tcW w:w="3532" w:type="dxa"/>
            <w:shd w:val="clear" w:color="auto" w:fill="173F4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407A52" w14:textId="77777777" w:rsidR="006F1F01" w:rsidRDefault="000654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Faixa / característica</w:t>
            </w:r>
          </w:p>
        </w:tc>
        <w:tc>
          <w:tcPr>
            <w:tcW w:w="3532" w:type="dxa"/>
            <w:shd w:val="clear" w:color="auto" w:fill="173F4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A1684A" w14:textId="77777777" w:rsidR="006F1F01" w:rsidRDefault="000654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Referência de avaliação</w:t>
            </w:r>
          </w:p>
        </w:tc>
      </w:tr>
      <w:tr w:rsidR="006F1F01" w14:paraId="4F915173" w14:textId="77777777">
        <w:trPr>
          <w:cantSplit/>
          <w:jc w:val="center"/>
        </w:trPr>
        <w:tc>
          <w:tcPr>
            <w:tcW w:w="323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6C9B24BE" w14:textId="77777777" w:rsidR="006F1F01" w:rsidRDefault="000654D0">
            <w:pPr>
              <w:spacing w:before="0" w:after="0"/>
              <w:jc w:val="left"/>
              <w:rPr>
                <w:rFonts w:hint="eastAsia"/>
              </w:rPr>
            </w:pPr>
            <w:r>
              <w:rPr>
                <w:b/>
                <w:color w:val="31383A"/>
                <w:sz w:val="15"/>
              </w:rPr>
              <w:t>Aspecto e cor</w:t>
            </w:r>
          </w:p>
        </w:tc>
        <w:tc>
          <w:tcPr>
            <w:tcW w:w="3572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16DD8BA8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Declarar por lote</w:t>
            </w:r>
          </w:p>
        </w:tc>
        <w:tc>
          <w:tcPr>
            <w:tcW w:w="3175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4C435E9C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Visual / escala aplicável</w:t>
            </w:r>
          </w:p>
        </w:tc>
      </w:tr>
      <w:tr w:rsidR="006F1F01" w14:paraId="796FB57A" w14:textId="77777777">
        <w:trPr>
          <w:cantSplit/>
          <w:jc w:val="center"/>
        </w:trPr>
        <w:tc>
          <w:tcPr>
            <w:tcW w:w="3231" w:type="dxa"/>
            <w:shd w:val="clear" w:color="auto" w:fill="F5F8F7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14EE8D42" w14:textId="77777777" w:rsidR="006F1F01" w:rsidRDefault="000654D0">
            <w:pPr>
              <w:spacing w:before="0" w:after="0"/>
              <w:jc w:val="left"/>
              <w:rPr>
                <w:rFonts w:hint="eastAsia"/>
              </w:rPr>
            </w:pPr>
            <w:r>
              <w:rPr>
                <w:b/>
                <w:color w:val="31383A"/>
                <w:sz w:val="15"/>
              </w:rPr>
              <w:t>Densidade a 20 °C</w:t>
            </w:r>
          </w:p>
        </w:tc>
        <w:tc>
          <w:tcPr>
            <w:tcW w:w="3572" w:type="dxa"/>
            <w:shd w:val="clear" w:color="auto" w:fill="F5F8F7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1EADE6B5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Declarar por lote</w:t>
            </w:r>
          </w:p>
        </w:tc>
        <w:tc>
          <w:tcPr>
            <w:tcW w:w="3175" w:type="dxa"/>
            <w:shd w:val="clear" w:color="auto" w:fill="F5F8F7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10787D68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ASTM D4052</w:t>
            </w:r>
          </w:p>
        </w:tc>
      </w:tr>
      <w:tr w:rsidR="006F1F01" w14:paraId="59C7FB56" w14:textId="77777777">
        <w:trPr>
          <w:cantSplit/>
          <w:jc w:val="center"/>
        </w:trPr>
        <w:tc>
          <w:tcPr>
            <w:tcW w:w="323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4D91FA16" w14:textId="77777777" w:rsidR="006F1F01" w:rsidRDefault="000654D0">
            <w:pPr>
              <w:spacing w:before="0" w:after="0"/>
              <w:jc w:val="left"/>
              <w:rPr>
                <w:rFonts w:hint="eastAsia"/>
              </w:rPr>
            </w:pPr>
            <w:r>
              <w:rPr>
                <w:b/>
                <w:color w:val="31383A"/>
                <w:sz w:val="15"/>
              </w:rPr>
              <w:t>Viscosidade</w:t>
            </w:r>
          </w:p>
        </w:tc>
        <w:tc>
          <w:tcPr>
            <w:tcW w:w="3572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74340611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Declarar por lote</w:t>
            </w:r>
          </w:p>
        </w:tc>
        <w:tc>
          <w:tcPr>
            <w:tcW w:w="3175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0AD99F7B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ASTM D445 ou equivalente</w:t>
            </w:r>
          </w:p>
        </w:tc>
      </w:tr>
      <w:tr w:rsidR="006F1F01" w14:paraId="1552E965" w14:textId="77777777">
        <w:trPr>
          <w:cantSplit/>
          <w:jc w:val="center"/>
        </w:trPr>
        <w:tc>
          <w:tcPr>
            <w:tcW w:w="3231" w:type="dxa"/>
            <w:shd w:val="clear" w:color="auto" w:fill="F5F8F7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68020149" w14:textId="77777777" w:rsidR="006F1F01" w:rsidRDefault="000654D0">
            <w:pPr>
              <w:spacing w:before="0" w:after="0"/>
              <w:jc w:val="left"/>
              <w:rPr>
                <w:rFonts w:hint="eastAsia"/>
              </w:rPr>
            </w:pPr>
            <w:r>
              <w:rPr>
                <w:b/>
                <w:color w:val="31383A"/>
                <w:sz w:val="15"/>
              </w:rPr>
              <w:t>Ponto de fulgor</w:t>
            </w:r>
          </w:p>
        </w:tc>
        <w:tc>
          <w:tcPr>
            <w:tcW w:w="3572" w:type="dxa"/>
            <w:shd w:val="clear" w:color="auto" w:fill="F5F8F7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2FF82EB4" w14:textId="77777777" w:rsidR="006F1F01" w:rsidRDefault="006B2AFF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Determinar e declarar</w:t>
            </w:r>
          </w:p>
        </w:tc>
        <w:tc>
          <w:tcPr>
            <w:tcW w:w="3175" w:type="dxa"/>
            <w:shd w:val="clear" w:color="auto" w:fill="F5F8F7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5F24796B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ASTM D93 / método aplicável</w:t>
            </w:r>
          </w:p>
        </w:tc>
      </w:tr>
      <w:tr w:rsidR="006F1F01" w14:paraId="5BC72F5E" w14:textId="77777777">
        <w:trPr>
          <w:cantSplit/>
          <w:jc w:val="center"/>
        </w:trPr>
        <w:tc>
          <w:tcPr>
            <w:tcW w:w="323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28D09445" w14:textId="77777777" w:rsidR="006F1F01" w:rsidRDefault="000654D0">
            <w:pPr>
              <w:spacing w:before="0" w:after="0"/>
              <w:jc w:val="left"/>
              <w:rPr>
                <w:rFonts w:hint="eastAsia"/>
              </w:rPr>
            </w:pPr>
            <w:r>
              <w:rPr>
                <w:b/>
                <w:color w:val="31383A"/>
                <w:sz w:val="15"/>
              </w:rPr>
              <w:t>Água</w:t>
            </w:r>
          </w:p>
        </w:tc>
        <w:tc>
          <w:tcPr>
            <w:tcW w:w="3572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64D4E6F8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Meta compatível com combustível*</w:t>
            </w:r>
          </w:p>
        </w:tc>
        <w:tc>
          <w:tcPr>
            <w:tcW w:w="3175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56AD9202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ASTM D6304</w:t>
            </w:r>
          </w:p>
        </w:tc>
      </w:tr>
      <w:tr w:rsidR="006F1F01" w14:paraId="3B0FD62C" w14:textId="77777777">
        <w:trPr>
          <w:cantSplit/>
          <w:jc w:val="center"/>
        </w:trPr>
        <w:tc>
          <w:tcPr>
            <w:tcW w:w="3231" w:type="dxa"/>
            <w:shd w:val="clear" w:color="auto" w:fill="F5F8F7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0370FE6C" w14:textId="77777777" w:rsidR="006F1F01" w:rsidRDefault="000654D0">
            <w:pPr>
              <w:spacing w:before="0" w:after="0"/>
              <w:jc w:val="left"/>
              <w:rPr>
                <w:rFonts w:hint="eastAsia"/>
              </w:rPr>
            </w:pPr>
            <w:r>
              <w:rPr>
                <w:b/>
                <w:color w:val="31383A"/>
                <w:sz w:val="15"/>
              </w:rPr>
              <w:t>Curva de destilação</w:t>
            </w:r>
          </w:p>
        </w:tc>
        <w:tc>
          <w:tcPr>
            <w:tcW w:w="3572" w:type="dxa"/>
            <w:shd w:val="clear" w:color="auto" w:fill="F5F8F7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20DD1D79" w14:textId="77777777" w:rsidR="006F1F01" w:rsidRDefault="00EC39E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Caracterizar</w:t>
            </w:r>
          </w:p>
        </w:tc>
        <w:tc>
          <w:tcPr>
            <w:tcW w:w="3175" w:type="dxa"/>
            <w:shd w:val="clear" w:color="auto" w:fill="F5F8F7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5DC07330" w14:textId="77777777" w:rsidR="006F1F01" w:rsidRDefault="00EC39E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ASTM D86 / método adequado</w:t>
            </w:r>
          </w:p>
        </w:tc>
      </w:tr>
      <w:tr w:rsidR="006F1F01" w14:paraId="22E54ADA" w14:textId="77777777">
        <w:trPr>
          <w:cantSplit/>
          <w:jc w:val="center"/>
        </w:trPr>
        <w:tc>
          <w:tcPr>
            <w:tcW w:w="323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699838BD" w14:textId="77777777" w:rsidR="006F1F01" w:rsidRDefault="000654D0">
            <w:pPr>
              <w:spacing w:before="0" w:after="0"/>
              <w:jc w:val="left"/>
              <w:rPr>
                <w:rFonts w:hint="eastAsia"/>
              </w:rPr>
            </w:pPr>
            <w:r>
              <w:rPr>
                <w:b/>
                <w:color w:val="31383A"/>
                <w:sz w:val="15"/>
              </w:rPr>
              <w:t>Ignição e combustão</w:t>
            </w:r>
          </w:p>
        </w:tc>
        <w:tc>
          <w:tcPr>
            <w:tcW w:w="3572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0FC593F0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Meta por curva comparativa*</w:t>
            </w:r>
          </w:p>
        </w:tc>
        <w:tc>
          <w:tcPr>
            <w:tcW w:w="3175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29C91988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IP 541 / FCA e ensaio funcional</w:t>
            </w:r>
          </w:p>
        </w:tc>
      </w:tr>
      <w:tr w:rsidR="006F1F01" w14:paraId="12F79891" w14:textId="77777777">
        <w:trPr>
          <w:cantSplit/>
          <w:jc w:val="center"/>
        </w:trPr>
        <w:tc>
          <w:tcPr>
            <w:tcW w:w="3231" w:type="dxa"/>
            <w:shd w:val="clear" w:color="auto" w:fill="F5F8F7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51755BDF" w14:textId="77777777" w:rsidR="006F1F01" w:rsidRDefault="000654D0">
            <w:pPr>
              <w:spacing w:before="0" w:after="0"/>
              <w:jc w:val="left"/>
              <w:rPr>
                <w:rFonts w:hint="eastAsia"/>
              </w:rPr>
            </w:pPr>
            <w:r>
              <w:rPr>
                <w:b/>
                <w:color w:val="31383A"/>
                <w:sz w:val="15"/>
              </w:rPr>
              <w:t>Estabilidade/compatibilidade</w:t>
            </w:r>
          </w:p>
        </w:tc>
        <w:tc>
          <w:tcPr>
            <w:tcW w:w="3572" w:type="dxa"/>
            <w:shd w:val="clear" w:color="auto" w:fill="F5F8F7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1E524937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Sem alteração fora dos limites</w:t>
            </w:r>
          </w:p>
        </w:tc>
        <w:tc>
          <w:tcPr>
            <w:tcW w:w="3175" w:type="dxa"/>
            <w:shd w:val="clear" w:color="auto" w:fill="F5F8F7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55CF763B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Métodos do combustível-alvo</w:t>
            </w:r>
          </w:p>
        </w:tc>
      </w:tr>
    </w:tbl>
    <w:p w14:paraId="3FA4B211" w14:textId="77777777" w:rsidR="006F1F01" w:rsidRPr="006B2AFF" w:rsidRDefault="000654D0">
      <w:pPr>
        <w:spacing w:after="0" w:line="247" w:lineRule="auto"/>
        <w:jc w:val="both"/>
        <w:rPr>
          <w:rFonts w:hint="eastAsia"/>
          <w:lang w:val="pt-BR"/>
        </w:rPr>
      </w:pPr>
      <w:r>
        <w:rPr>
          <w:color w:val="31383A"/>
          <w:lang w:val="pt-BR"/>
        </w:rPr>
        <w:t>Os resultados aplicáveis devem constar do Certificado de Análise. Nenhuma faixa substitui especificação legal, aprovação do fabricante do equipamento ou ensaio na condição real de uso.</w:t>
      </w:r>
    </w:p>
    <w:p w14:paraId="2C500347" w14:textId="77777777" w:rsidR="006F1F01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</w:rPr>
        <w:outlineLvl w:val="0"/>
      </w:pPr>
      <w:r>
        <w:rPr>
          <w:rFonts w:ascii="Aptos Display" w:hAnsi="Aptos Display"/>
          <w:b/>
          <w:color w:val="2F8F98"/>
          <w:sz w:val="26"/>
        </w:rPr>
        <w:t>RECOMENDAÇÕES DE USO E DIMENSIONAMENTO</w:t>
      </w:r>
    </w:p>
    <w:tbl>
      <w:tblPr>
        <w:tblW w:w="10432" w:type="dxa"/>
        <w:jc w:val="center"/>
        <w:tblBorders>
          <w:top w:val="single" w:sz="6" w:space="0" w:color="B7D6D2"/>
          <w:left w:val="single" w:sz="6" w:space="0" w:color="B7D6D2"/>
          <w:bottom w:val="single" w:sz="6" w:space="0" w:color="B7D6D2"/>
          <w:right w:val="single" w:sz="6" w:space="0" w:color="B7D6D2"/>
          <w:insideH w:val="single" w:sz="6" w:space="0" w:color="B7D6D2"/>
          <w:insideV w:val="single" w:sz="6" w:space="0" w:color="B7D6D2"/>
        </w:tblBorders>
        <w:tblLayout w:type="fixed"/>
        <w:tblLook w:val="04A0" w:firstRow="1" w:lastRow="0" w:firstColumn="1" w:lastColumn="0" w:noHBand="0" w:noVBand="1"/>
      </w:tblPr>
      <w:tblGrid>
        <w:gridCol w:w="3478"/>
        <w:gridCol w:w="3477"/>
        <w:gridCol w:w="3477"/>
      </w:tblGrid>
      <w:tr w:rsidR="006F1F01" w14:paraId="7FD3F93B" w14:textId="77777777">
        <w:trPr>
          <w:cantSplit/>
          <w:jc w:val="center"/>
          <w:tblHeader w:val="true"/>
        </w:trPr>
        <w:tc>
          <w:tcPr>
            <w:tcW w:w="3532" w:type="dxa"/>
            <w:shd w:val="clear" w:color="auto" w:fill="2F8F9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9A911D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Condição de uso</w:t>
            </w:r>
          </w:p>
        </w:tc>
        <w:tc>
          <w:tcPr>
            <w:tcW w:w="3532" w:type="dxa"/>
            <w:shd w:val="clear" w:color="auto" w:fill="2F8F9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BDC29B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Faixa preliminar</w:t>
            </w:r>
          </w:p>
        </w:tc>
        <w:tc>
          <w:tcPr>
            <w:tcW w:w="3532" w:type="dxa"/>
            <w:shd w:val="clear" w:color="auto" w:fill="2F8F9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DF6935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Orientação</w:t>
            </w:r>
          </w:p>
        </w:tc>
      </w:tr>
      <w:tr w:rsidR="006F1F01" w:rsidRPr="00926B7F" w14:paraId="2B2E6E68" w14:textId="77777777">
        <w:trPr>
          <w:cantSplit/>
          <w:jc w:val="center"/>
        </w:trPr>
        <w:tc>
          <w:tcPr>
            <w:tcW w:w="3532" w:type="dxa"/>
            <w:shd w:val="clear" w:color="auto" w:fill="EAF4F2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020D4AB1" w14:textId="77777777" w:rsidR="006F1F01" w:rsidRDefault="000654D0">
            <w:pPr>
              <w:spacing w:before="0" w:after="0"/>
              <w:jc w:val="left"/>
              <w:rPr>
                <w:rFonts w:hint="eastAsia"/>
              </w:rPr>
            </w:pPr>
            <w:r>
              <w:rPr>
                <w:color w:val="173F48"/>
                <w:sz w:val="17"/>
              </w:rPr>
              <w:t>Triagem em laboratório</w:t>
            </w:r>
          </w:p>
        </w:tc>
        <w:tc>
          <w:tcPr>
            <w:tcW w:w="3532" w:type="dxa"/>
            <w:shd w:val="clear" w:color="auto" w:fill="EAF4F2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52F71E53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173F48"/>
                <w:sz w:val="17"/>
              </w:rPr>
              <w:t>0,02 a 0,10% (v/v)*</w:t>
            </w:r>
          </w:p>
        </w:tc>
        <w:tc>
          <w:tcPr>
            <w:tcW w:w="3532" w:type="dxa"/>
            <w:shd w:val="clear" w:color="auto" w:fill="EAF4F2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6D532E91" w14:textId="77777777" w:rsidR="006F1F01" w:rsidRPr="006B2AFF" w:rsidRDefault="000654D0">
            <w:pPr>
              <w:spacing w:before="0" w:after="0"/>
              <w:jc w:val="center"/>
              <w:rPr>
                <w:rFonts w:hint="eastAsia"/>
                <w:lang w:val="pt-BR"/>
              </w:rPr>
            </w:pPr>
            <w:r>
              <w:rPr>
                <w:color w:val="173F48"/>
                <w:sz w:val="17"/>
                <w:lang w:val="pt-BR"/>
              </w:rPr>
              <w:t>Avaliar mistura completa e combustível-base</w:t>
            </w:r>
          </w:p>
        </w:tc>
      </w:tr>
      <w:tr w:rsidR="006F1F01" w:rsidRPr="00926B7F" w14:paraId="2B2E6E68" w14:textId="77777777">
        <w:trPr>
          <w:cantSplit/>
          <w:jc w:val="center"/>
        </w:trPr>
        <w:tc>
          <w:tcPr>
            <w:tcW w:w="3532" w:type="dxa"/>
            <w:shd w:val="clear" w:color="auto" w:fill="EAF4F2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020D4AB1" w14:textId="77777777" w:rsidR="006F1F01" w:rsidRDefault="000654D0">
            <w:pPr>
              <w:spacing w:before="0" w:after="0"/>
              <w:jc w:val="left"/>
              <w:rPr>
                <w:rFonts w:hint="eastAsia"/>
              </w:rPr>
            </w:pPr>
            <w:r>
              <w:rPr>
                <w:color w:val="173F48"/>
                <w:sz w:val="17"/>
              </w:rPr>
              <w:t>Teste em equipamento</w:t>
            </w:r>
          </w:p>
        </w:tc>
        <w:tc>
          <w:tcPr>
            <w:tcW w:w="3532" w:type="dxa"/>
            <w:shd w:val="clear" w:color="auto" w:fill="EAF4F2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52F71E53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173F48"/>
                <w:sz w:val="17"/>
              </w:rPr>
              <w:t>Somente após aprovação formal</w:t>
            </w:r>
          </w:p>
        </w:tc>
        <w:tc>
          <w:tcPr>
            <w:tcW w:w="3532" w:type="dxa"/>
            <w:shd w:val="clear" w:color="auto" w:fill="EAF4F2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6D532E91" w14:textId="77777777" w:rsidR="006F1F01" w:rsidRPr="006B2AFF" w:rsidRDefault="000654D0">
            <w:pPr>
              <w:spacing w:before="0" w:after="0"/>
              <w:jc w:val="center"/>
              <w:rPr>
                <w:rFonts w:hint="eastAsia"/>
                <w:lang w:val="pt-BR"/>
              </w:rPr>
            </w:pPr>
            <w:r>
              <w:rPr>
                <w:color w:val="173F48"/>
                <w:sz w:val="17"/>
                <w:lang w:val="pt-BR"/>
              </w:rPr>
              <w:t>Plano instrumentado, lote segregado e critério de parada</w:t>
            </w:r>
          </w:p>
        </w:tc>
      </w:tr>
    </w:tbl>
    <w:p w14:paraId="2F4E5DD4" w14:textId="77777777" w:rsidR="006F1F01" w:rsidRPr="006B2AFF" w:rsidRDefault="000654D0">
      <w:pPr>
        <w:spacing w:after="60" w:line="247" w:lineRule="auto"/>
        <w:jc w:val="both"/>
        <w:rPr>
          <w:rFonts w:hint="eastAsia"/>
          <w:lang w:val="pt-BR"/>
        </w:rPr>
      </w:pPr>
      <w:r>
        <w:rPr>
          <w:color w:val="31383A"/>
          <w:lang w:val="pt-BR"/>
        </w:rPr>
        <w:t>Faixa apenas para triagem laboratorial: 0,02 a 0,10% (v/v)*. Construir curva com branco, referência e ao menos três concentrações. Não extrapolar para tanque, veículo, aeronave, navio ou equipamento sem homologação.</w:t>
      </w:r>
    </w:p>
    <w:p w14:paraId="6C7263E2" w14:textId="77777777" w:rsidR="006F1F01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</w:rPr>
        <w:outlineLvl w:val="0"/>
      </w:pPr>
      <w:r>
        <w:rPr>
          <w:rFonts w:ascii="Aptos Display" w:hAnsi="Aptos Display"/>
          <w:b/>
          <w:color w:val="2F8F98"/>
          <w:sz w:val="26"/>
        </w:rPr>
        <w:t>MISTURA, ENSAIO E HOMOLOGAÇÃO</w:t>
      </w:r>
    </w:p>
    <w:tbl>
      <w:tblPr>
        <w:tblW w:w="10432" w:type="dxa"/>
        <w:jc w:val="center"/>
        <w:tblBorders>
          <w:top w:val="single" w:sz="4" w:space="0" w:color="B7D6D2"/>
          <w:left w:val="single" w:sz="4" w:space="0" w:color="B7D6D2"/>
          <w:bottom w:val="single" w:sz="4" w:space="0" w:color="B7D6D2"/>
          <w:right w:val="single" w:sz="4" w:space="0" w:color="B7D6D2"/>
          <w:insideH w:val="single" w:sz="4" w:space="0" w:color="B7D6D2"/>
          <w:insideV w:val="single" w:sz="4" w:space="0" w:color="B7D6D2"/>
        </w:tblBorders>
        <w:tblLayout w:type="fixed"/>
        <w:tblLook w:val="04A0" w:firstRow="1" w:lastRow="0" w:firstColumn="1" w:lastColumn="0" w:noHBand="0" w:noVBand="1"/>
      </w:tblPr>
      <w:tblGrid>
        <w:gridCol w:w="5215"/>
        <w:gridCol w:w="5217"/>
      </w:tblGrid>
      <w:tr w:rsidR="006F1F01" w:rsidRPr="00926B7F" w14:paraId="0443A015" w14:textId="77777777">
        <w:trPr>
          <w:cantSplit/>
          <w:jc w:val="center"/>
        </w:trPr>
        <w:tc>
          <w:tcPr>
            <w:tcW w:w="5298" w:type="dxa"/>
            <w:shd w:val="clear" w:color="auto" w:fill="2B8A68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B6EB515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1</w:t>
            </w:r>
          </w:p>
        </w:tc>
        <w:tc>
          <w:tcPr>
            <w:tcW w:w="5298" w:type="dxa"/>
            <w:shd w:val="clear" w:color="auto" w:fill="F5F8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25DAB1" w14:textId="77777777" w:rsidR="006F1F01" w:rsidRPr="006B2AFF" w:rsidRDefault="000654D0">
            <w:pPr>
              <w:spacing w:before="0" w:after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Caracterizar integralmente o concentrado e o combustível-base; registrar lote, origem, especificação e cadeia de custódia.</w:t>
            </w:r>
          </w:p>
        </w:tc>
      </w:tr>
      <w:tr w:rsidR="006F1F01" w:rsidRPr="00926B7F" w14:paraId="3EC97C05" w14:textId="77777777">
        <w:trPr>
          <w:cantSplit/>
          <w:jc w:val="center"/>
        </w:trPr>
        <w:tc>
          <w:tcPr>
            <w:tcW w:w="5298" w:type="dxa"/>
            <w:shd w:val="clear" w:color="auto" w:fill="2B8A68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160E8B2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2</w:t>
            </w:r>
          </w:p>
        </w:tc>
        <w:tc>
          <w:tcPr>
            <w:tcW w:w="5298" w:type="dxa"/>
            <w:shd w:val="clear" w:color="auto" w:fill="F5F8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CBCECD" w14:textId="77777777" w:rsidR="006F1F01" w:rsidRPr="006B2AFF" w:rsidRDefault="000654D0">
            <w:pPr>
              <w:spacing w:before="0" w:after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Preparar branco, referência e curva de dose em bancada, com mistura gravimétrica e procedimento documentado.</w:t>
            </w:r>
          </w:p>
        </w:tc>
      </w:tr>
      <w:tr w:rsidR="006F1F01" w:rsidRPr="00926B7F" w14:paraId="637DFE45" w14:textId="77777777">
        <w:trPr>
          <w:cantSplit/>
          <w:jc w:val="center"/>
        </w:trPr>
        <w:tc>
          <w:tcPr>
            <w:tcW w:w="5298" w:type="dxa"/>
            <w:shd w:val="clear" w:color="auto" w:fill="2B8A68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2A794DF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3</w:t>
            </w:r>
          </w:p>
        </w:tc>
        <w:tc>
          <w:tcPr>
            <w:tcW w:w="5298" w:type="dxa"/>
            <w:shd w:val="clear" w:color="auto" w:fill="F5F8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070CAD" w14:textId="77777777" w:rsidR="006F1F01" w:rsidRPr="006B2AFF" w:rsidRDefault="000654D0">
            <w:pPr>
              <w:spacing w:before="0" w:after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Avaliar miscibilidade, água, estabilidade, corrosão, elastômeros, filtros, depósitos e todas as propriedades regulamentadas.</w:t>
            </w:r>
          </w:p>
        </w:tc>
      </w:tr>
      <w:tr w:rsidR="006F1F01" w:rsidRPr="00926B7F" w14:paraId="6A5F9EF0" w14:textId="77777777">
        <w:trPr>
          <w:cantSplit/>
          <w:jc w:val="center"/>
        </w:trPr>
        <w:tc>
          <w:tcPr>
            <w:tcW w:w="5298" w:type="dxa"/>
            <w:shd w:val="clear" w:color="auto" w:fill="2B8A68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3908A76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4</w:t>
            </w:r>
          </w:p>
        </w:tc>
        <w:tc>
          <w:tcPr>
            <w:tcW w:w="5298" w:type="dxa"/>
            <w:shd w:val="clear" w:color="auto" w:fill="F5F8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1CC935" w14:textId="77777777" w:rsidR="006F1F01" w:rsidRPr="006B2AFF" w:rsidRDefault="000654D0">
            <w:pPr>
              <w:spacing w:before="0" w:after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Somente após aprovação laboratorial, executar teste instrumentado com fabricante ou centro homologado e critérios de parada.</w:t>
            </w:r>
          </w:p>
        </w:tc>
      </w:tr>
      <w:tr w:rsidR="006F1F01" w:rsidRPr="00926B7F" w14:paraId="74D98720" w14:textId="77777777">
        <w:trPr>
          <w:cantSplit/>
          <w:jc w:val="center"/>
        </w:trPr>
        <w:tc>
          <w:tcPr>
            <w:tcW w:w="5298" w:type="dxa"/>
            <w:shd w:val="clear" w:color="auto" w:fill="2B8A68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1614F3A" w14:textId="77777777" w:rsidR="006F1F01" w:rsidRDefault="000654D0">
            <w:pPr>
              <w:spacing w:before="0"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5</w:t>
            </w:r>
          </w:p>
        </w:tc>
        <w:tc>
          <w:tcPr>
            <w:tcW w:w="5298" w:type="dxa"/>
            <w:shd w:val="clear" w:color="auto" w:fill="F5F8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294F71" w14:textId="77777777" w:rsidR="006F1F01" w:rsidRPr="006B2AFF" w:rsidRDefault="000654D0">
            <w:pPr>
              <w:spacing w:before="0" w:after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Comparar consumo, desempenho, emissões e integridade; confirmar que a mistura permanece conforme após armazenamento.</w:t>
            </w:r>
          </w:p>
        </w:tc>
      </w:tr>
    </w:tbl>
    <w:p w14:paraId="5821D81A" w14:textId="77777777" w:rsidR="006F1F01" w:rsidRPr="006B2AFF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  <w:lang w:val="pt-BR"/>
        </w:rPr>
        <w:outlineLvl w:val="0"/>
      </w:pPr>
      <w:r>
        <w:rPr>
          <w:rFonts w:ascii="Aptos Display" w:hAnsi="Aptos Display"/>
          <w:b/>
          <w:color w:val="2F8F98"/>
          <w:sz w:val="26"/>
          <w:lang w:val="pt-BR"/>
        </w:rPr>
        <w:t>COMPATIBILIDADE, HOMOLOGAÇÃO E TESTE PRÉVIO</w:t>
      </w:r>
    </w:p>
    <w:p w14:paraId="256C327E" w14:textId="77777777" w:rsidR="006F1F01" w:rsidRPr="006B2AFF" w:rsidRDefault="000654D0">
      <w:pPr>
        <w:spacing w:after="40" w:line="240" w:lineRule="auto"/>
        <w:jc w:val="both"/>
        <w:rPr>
          <w:rFonts w:hint="eastAsia"/>
          <w:lang w:val="pt-BR"/>
        </w:rPr>
      </w:pPr>
      <w:r>
        <w:rPr>
          <w:color w:val="31383A"/>
          <w:lang w:val="pt-BR"/>
        </w:rPr>
        <w:t>Compatibilidade deve ser demonstrada com o grau real de óleo combustível marítimo e bunker, incluindo variação sazonal e componentes renováveis obrigatórios. Não misturar com outros aditivos sem estudo de interação, nem transferir dose entre combustíveis ou equipamentos.</w:t>
      </w:r>
    </w:p>
    <w:p w14:paraId="42D9C578" w14:textId="77777777" w:rsidR="006F1F01" w:rsidRPr="006B2AFF" w:rsidRDefault="000654D0">
      <w:pPr>
        <w:pStyle w:val="Commarcadores"/>
        <w:spacing w:after="30"/>
        <w:ind w:left="255" w:hanging="113"/>
        <w:jc w:val="both"/>
        <w:rPr>
          <w:rFonts w:hint="eastAsia"/>
          <w:lang w:val="pt-BR"/>
        </w:rPr>
      </w:pPr>
      <w:r>
        <w:rPr>
          <w:color w:val="31383A"/>
          <w:sz w:val="17"/>
          <w:lang w:val="pt-BR"/>
        </w:rPr>
        <w:t>Realizar teste de estabilidade, separação de fases, precipitado, cor, odor e filtrabilidade.</w:t>
      </w:r>
    </w:p>
    <w:p w14:paraId="37796130" w14:textId="77777777" w:rsidR="006F1F01" w:rsidRPr="006B2AFF" w:rsidRDefault="000654D0">
      <w:pPr>
        <w:pStyle w:val="Commarcadores"/>
        <w:spacing w:after="30"/>
        <w:ind w:left="255" w:hanging="113"/>
        <w:jc w:val="both"/>
        <w:rPr>
          <w:rFonts w:hint="eastAsia"/>
          <w:lang w:val="pt-BR"/>
        </w:rPr>
      </w:pPr>
      <w:r>
        <w:rPr>
          <w:color w:val="31383A"/>
          <w:sz w:val="17"/>
          <w:lang w:val="pt-BR"/>
        </w:rPr>
        <w:t>Avaliar corrosão, elastômeros, metais, selos, filtros, bombas, injetores e câmara de combustão.</w:t>
      </w:r>
    </w:p>
    <w:p w14:paraId="46924B0C" w14:textId="77777777" w:rsidR="006F1F01" w:rsidRPr="006B2AFF" w:rsidRDefault="000654D0">
      <w:pPr>
        <w:pStyle w:val="Commarcadores"/>
        <w:spacing w:after="30"/>
        <w:ind w:left="255" w:hanging="113"/>
        <w:jc w:val="both"/>
        <w:rPr>
          <w:rFonts w:hint="eastAsia"/>
          <w:lang w:val="pt-BR"/>
        </w:rPr>
      </w:pPr>
      <w:r>
        <w:rPr>
          <w:color w:val="31383A"/>
          <w:sz w:val="17"/>
          <w:lang w:val="pt-BR"/>
        </w:rPr>
        <w:t>Verificar todas as propriedades legais da mistura final; melhora de um indicador não compensa falha em outro.</w:t>
      </w:r>
    </w:p>
    <w:p w14:paraId="7555F8AD" w14:textId="77777777" w:rsidR="006F1F01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</w:rPr>
        <w:outlineLvl w:val="0"/>
      </w:pPr>
      <w:r>
        <w:rPr>
          <w:rFonts w:ascii="Aptos Display" w:hAnsi="Aptos Display"/>
          <w:b/>
          <w:color w:val="2F8F98"/>
          <w:sz w:val="26"/>
        </w:rPr>
        <w:t>CONDIÇÕES DE OPERAÇÃO</w:t>
      </w:r>
    </w:p>
    <w:tbl>
      <w:tblPr>
        <w:tblW w:w="10432" w:type="dxa"/>
        <w:jc w:val="center"/>
        <w:tblBorders>
          <w:top w:val="single" w:sz="5" w:space="0" w:color="B7D2D0"/>
          <w:left w:val="single" w:sz="5" w:space="0" w:color="B7D2D0"/>
          <w:bottom w:val="single" w:sz="5" w:space="0" w:color="B7D2D0"/>
          <w:right w:val="single" w:sz="5" w:space="0" w:color="B7D2D0"/>
          <w:insideH w:val="single" w:sz="5" w:space="0" w:color="B7D2D0"/>
          <w:insideV w:val="single" w:sz="5" w:space="0" w:color="B7D2D0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6F1F01" w:rsidRPr="00926B7F" w14:paraId="627AC221" w14:textId="77777777">
        <w:trPr>
          <w:cantSplit/>
          <w:jc w:val="center"/>
        </w:trPr>
        <w:tc>
          <w:tcPr>
            <w:tcW w:w="5216" w:type="dxa"/>
            <w:shd w:val="clear" w:color="auto" w:fill="EAF4F3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E320592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Usar somente lote caracterizado e segregado.</w:t>
            </w:r>
          </w:p>
        </w:tc>
        <w:tc>
          <w:tcPr>
            <w:tcW w:w="5216" w:type="dxa"/>
            <w:shd w:val="clear" w:color="auto" w:fill="F5F8F7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00CB4A3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Dosar por massa ou volume calibrado.</w:t>
            </w:r>
          </w:p>
        </w:tc>
      </w:tr>
      <w:tr w:rsidR="006F1F01" w:rsidRPr="00926B7F" w14:paraId="34900154" w14:textId="77777777">
        <w:trPr>
          <w:cantSplit/>
          <w:jc w:val="center"/>
        </w:trPr>
        <w:tc>
          <w:tcPr>
            <w:tcW w:w="5216" w:type="dxa"/>
            <w:shd w:val="clear" w:color="auto" w:fill="F5F8F7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A7661EE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Controlar temperatura e homogeneização.</w:t>
            </w:r>
          </w:p>
        </w:tc>
        <w:tc>
          <w:tcPr>
            <w:tcW w:w="5216" w:type="dxa"/>
            <w:shd w:val="clear" w:color="auto" w:fill="EAF4F3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A979731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Evitar água e contaminação cruzada.</w:t>
            </w:r>
          </w:p>
        </w:tc>
      </w:tr>
      <w:tr w:rsidR="00AD75CC" w:rsidRPr="00926B7F" w14:paraId="10064C30" w14:textId="77777777">
        <w:trPr>
          <w:cantSplit/>
          <w:jc w:val="center"/>
        </w:trPr>
        <w:tc>
          <w:tcPr>
            <w:tcW w:w="5216" w:type="dxa"/>
            <w:shd w:val="clear" w:color="auto" w:fill="EAF4F3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38FB4C8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Manter amostra testemunha lacrada.</w:t>
            </w:r>
          </w:p>
        </w:tc>
        <w:tc>
          <w:tcPr>
            <w:tcW w:w="5216" w:type="dxa"/>
            <w:shd w:val="clear" w:color="auto" w:fill="F5F8F7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B171827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● Executar teste apenas em instalação autorizada.</w:t>
            </w:r>
          </w:p>
        </w:tc>
      </w:tr>
    </w:tbl>
    <w:p w14:paraId="5CA593DE" w14:textId="77777777" w:rsidR="006F1F01" w:rsidRPr="006B2AFF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  <w:lang w:val="pt-BR"/>
        </w:rPr>
        <w:outlineLvl w:val="0"/>
      </w:pPr>
      <w:r>
        <w:rPr>
          <w:rFonts w:ascii="Aptos Display" w:hAnsi="Aptos Display"/>
          <w:b/>
          <w:color w:val="2F8F98"/>
          <w:sz w:val="26"/>
          <w:lang w:val="pt-BR"/>
        </w:rPr>
        <w:t>EQUIPAMENTOS E CONTROLES OPERACIONAIS</w:t>
      </w:r>
    </w:p>
    <w:tbl>
      <w:tblPr>
        <w:tblW w:w="10432" w:type="dxa"/>
        <w:jc w:val="center"/>
        <w:tblBorders>
          <w:top w:val="single" w:sz="5" w:space="0" w:color="B7D2D0"/>
          <w:left w:val="single" w:sz="5" w:space="0" w:color="B7D2D0"/>
          <w:bottom w:val="single" w:sz="5" w:space="0" w:color="B7D2D0"/>
          <w:right w:val="single" w:sz="5" w:space="0" w:color="B7D2D0"/>
          <w:insideH w:val="single" w:sz="5" w:space="0" w:color="B7D2D0"/>
          <w:insideV w:val="single" w:sz="5" w:space="0" w:color="B7D2D0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4649"/>
        <w:gridCol w:w="3061"/>
      </w:tblGrid>
      <w:tr w:rsidR="00AD75CC" w14:paraId="69858C18" w14:textId="77777777">
        <w:trPr>
          <w:cantSplit/>
          <w:jc w:val="center"/>
          <w:tblHeader w:val="true"/>
        </w:trPr>
        <w:tc>
          <w:tcPr>
            <w:tcW w:w="2721" w:type="dxa"/>
            <w:shd w:val="clear" w:color="auto" w:fill="184A52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726A1F6" w14:textId="77777777" w:rsidR="00AD75CC" w:rsidRDefault="009A7AEC">
            <w:pPr>
              <w:keepNext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Equipamento / sistema</w:t>
            </w:r>
          </w:p>
        </w:tc>
        <w:tc>
          <w:tcPr>
            <w:tcW w:w="4649" w:type="dxa"/>
            <w:shd w:val="clear" w:color="auto" w:fill="184A52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0202CF1" w14:textId="77777777" w:rsidR="00AD75CC" w:rsidRDefault="009A7AEC">
            <w:pPr>
              <w:keepNext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Orientação de uso</w:t>
            </w:r>
          </w:p>
        </w:tc>
        <w:tc>
          <w:tcPr>
            <w:tcW w:w="3061" w:type="dxa"/>
            <w:shd w:val="clear" w:color="auto" w:fill="184A52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D68D378" w14:textId="77777777" w:rsidR="00AD75CC" w:rsidRDefault="009A7AEC">
            <w:pPr>
              <w:keepNext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Observações</w:t>
            </w:r>
          </w:p>
        </w:tc>
      </w:tr>
      <w:tr w:rsidR="00AD75CC" w:rsidRPr="00926B7F" w14:paraId="0B4B8960" w14:textId="77777777">
        <w:trPr>
          <w:cantSplit/>
          <w:jc w:val="center"/>
        </w:trPr>
        <w:tc>
          <w:tcPr>
            <w:tcW w:w="2721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5C535A" w14:textId="77777777" w:rsidR="00AD75CC" w:rsidRDefault="009A7AEC">
            <w:pPr>
              <w:keepNext/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color w:val="31383A"/>
                <w:sz w:val="15"/>
              </w:rPr>
              <w:t>Bancada de mistura</w:t>
            </w:r>
          </w:p>
        </w:tc>
        <w:tc>
          <w:tcPr>
            <w:tcW w:w="4649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F68D58" w14:textId="77777777" w:rsidR="00AD75CC" w:rsidRPr="00926B7F" w:rsidRDefault="009A7AEC">
            <w:pPr>
              <w:keepNext/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5"/>
                <w:lang w:val="pt-BR"/>
              </w:rPr>
              <w:t>Vidraria ou tanque compatível e aterrado.</w:t>
            </w:r>
          </w:p>
        </w:tc>
        <w:tc>
          <w:tcPr>
            <w:tcW w:w="3061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994727" w14:textId="77777777" w:rsidR="00AD75CC" w:rsidRPr="00926B7F" w:rsidRDefault="009A7AEC">
            <w:pPr>
              <w:keepNext/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5"/>
                <w:lang w:val="pt-BR"/>
              </w:rPr>
              <w:t>Controlar massa, temperatura e agitação.</w:t>
            </w:r>
          </w:p>
        </w:tc>
      </w:tr>
      <w:tr w:rsidR="00AD75CC" w:rsidRPr="00926B7F" w14:paraId="4F31BAF5" w14:textId="77777777">
        <w:trPr>
          <w:cantSplit/>
          <w:jc w:val="center"/>
        </w:trPr>
        <w:tc>
          <w:tcPr>
            <w:tcW w:w="2721" w:type="dxa"/>
            <w:shd w:val="clear" w:color="auto" w:fill="F5F8F7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E1D20F" w14:textId="77777777" w:rsidR="00AD75CC" w:rsidRDefault="009A7AEC">
            <w:pPr>
              <w:keepNext/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color w:val="31383A"/>
                <w:sz w:val="15"/>
              </w:rPr>
              <w:t>Análise de combustível</w:t>
            </w:r>
          </w:p>
        </w:tc>
        <w:tc>
          <w:tcPr>
            <w:tcW w:w="4649" w:type="dxa"/>
            <w:shd w:val="clear" w:color="auto" w:fill="F5F8F7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446D67" w14:textId="77777777" w:rsidR="00AD75CC" w:rsidRPr="00926B7F" w:rsidRDefault="009A7AEC">
            <w:pPr>
              <w:keepNext/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5"/>
                <w:lang w:val="pt-BR"/>
              </w:rPr>
              <w:t>Métodos regulamentares e laboratório competente.</w:t>
            </w:r>
          </w:p>
        </w:tc>
        <w:tc>
          <w:tcPr>
            <w:tcW w:w="3061" w:type="dxa"/>
            <w:shd w:val="clear" w:color="auto" w:fill="F5F8F7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25EE3F" w14:textId="77777777" w:rsidR="00AD75CC" w:rsidRPr="00926B7F" w:rsidRDefault="009A7AEC">
            <w:pPr>
              <w:keepNext/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5"/>
                <w:lang w:val="pt-BR"/>
              </w:rPr>
              <w:t>Comparar antes e depois da adição.</w:t>
            </w:r>
          </w:p>
        </w:tc>
      </w:tr>
      <w:tr w:rsidR="00AD75CC" w:rsidRPr="00926B7F" w14:paraId="325CB524" w14:textId="77777777">
        <w:trPr>
          <w:cantSplit/>
          <w:jc w:val="center"/>
        </w:trPr>
        <w:tc>
          <w:tcPr>
            <w:tcW w:w="2721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DE1B33" w14:textId="77777777" w:rsidR="00AD75CC" w:rsidRPr="00926B7F" w:rsidRDefault="009A7AEC">
            <w:pPr>
              <w:keepNext/>
              <w:spacing w:after="0" w:line="240" w:lineRule="auto" w:before="0"/>
              <w:jc w:val="left"/>
              <w:rPr>
                <w:rFonts w:hint="eastAsia"/>
                <w:lang w:val="pt-BR"/>
              </w:rPr>
            </w:pPr>
            <w:r>
              <w:rPr>
                <w:color w:val="31383A"/>
                <w:sz w:val="15"/>
                <w:lang w:val="pt-BR"/>
              </w:rPr>
              <w:t>Teste funcional</w:t>
            </w:r>
          </w:p>
        </w:tc>
        <w:tc>
          <w:tcPr>
            <w:tcW w:w="4649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C65756" w14:textId="77777777" w:rsidR="00AD75CC" w:rsidRPr="00926B7F" w:rsidRDefault="009A7AEC">
            <w:pPr>
              <w:keepNext/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5"/>
                <w:lang w:val="pt-BR"/>
              </w:rPr>
              <w:t>Motor, queimador ou rig instrumentado.</w:t>
            </w:r>
          </w:p>
        </w:tc>
        <w:tc>
          <w:tcPr>
            <w:tcW w:w="3061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112F9E" w14:textId="77777777" w:rsidR="00AD75CC" w:rsidRPr="00926B7F" w:rsidRDefault="009A7AEC">
            <w:pPr>
              <w:keepNext/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5"/>
                <w:lang w:val="pt-BR"/>
              </w:rPr>
              <w:t>Plano, repetição e critério de parada.</w:t>
            </w:r>
          </w:p>
        </w:tc>
      </w:tr>
      <w:tr w:rsidR="00AD75CC" w:rsidRPr="00926B7F" w14:paraId="6246B9FD" w14:textId="77777777">
        <w:trPr>
          <w:cantSplit/>
          <w:jc w:val="center"/>
        </w:trPr>
        <w:tc>
          <w:tcPr>
            <w:tcW w:w="2721" w:type="dxa"/>
            <w:shd w:val="clear" w:color="auto" w:fill="F5F8F7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9DE4DF" w14:textId="77777777" w:rsidR="00AD75CC" w:rsidRPr="00926B7F" w:rsidRDefault="009A7AEC">
            <w:pPr>
              <w:spacing w:after="0" w:line="240" w:lineRule="auto" w:before="0"/>
              <w:jc w:val="left"/>
              <w:rPr>
                <w:rFonts w:hint="eastAsia"/>
                <w:lang w:val="pt-BR"/>
              </w:rPr>
            </w:pPr>
            <w:r>
              <w:rPr>
                <w:color w:val="31383A"/>
                <w:sz w:val="15"/>
                <w:lang w:val="pt-BR"/>
              </w:rPr>
              <w:t>Dosagem</w:t>
            </w:r>
          </w:p>
        </w:tc>
        <w:tc>
          <w:tcPr>
            <w:tcW w:w="4649" w:type="dxa"/>
            <w:shd w:val="clear" w:color="auto" w:fill="F5F8F7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61FABB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5"/>
                <w:lang w:val="pt-BR"/>
              </w:rPr>
              <w:t>Bomba, balança e medidor calibrados.</w:t>
            </w:r>
          </w:p>
        </w:tc>
        <w:tc>
          <w:tcPr>
            <w:tcW w:w="3061" w:type="dxa"/>
            <w:shd w:val="clear" w:color="auto" w:fill="F5F8F7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EDCA8DC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5"/>
                <w:lang w:val="pt-BR"/>
              </w:rPr>
              <w:t>Evitar superdosagem e contaminação.</w:t>
            </w:r>
          </w:p>
        </w:tc>
      </w:tr>
    </w:tbl>
    <w:p w14:paraId="4E5A1658" w14:textId="77777777" w:rsidR="006F1F01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</w:rPr>
        <w:outlineLvl w:val="0"/>
      </w:pPr>
      <w:r>
        <w:rPr>
          <w:rFonts w:ascii="Aptos Display" w:hAnsi="Aptos Display"/>
          <w:b/>
          <w:color w:val="2F8F98"/>
          <w:sz w:val="26"/>
        </w:rPr>
        <w:t>ARMAZENAMENTO, EMBALAGEM E VALIDADE</w:t>
      </w:r>
    </w:p>
    <w:tbl>
      <w:tblPr>
        <w:tblW w:w="10432" w:type="dxa"/>
        <w:jc w:val="center"/>
        <w:tblBorders>
          <w:top w:val="single" w:sz="5" w:space="0" w:color="B7D2D0"/>
          <w:left w:val="single" w:sz="5" w:space="0" w:color="B7D2D0"/>
          <w:bottom w:val="single" w:sz="5" w:space="0" w:color="B7D2D0"/>
          <w:right w:val="single" w:sz="5" w:space="0" w:color="B7D2D0"/>
          <w:insideH w:val="single" w:sz="5" w:space="0" w:color="B7D2D0"/>
          <w:insideV w:val="single" w:sz="5" w:space="0" w:color="B7D2D0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7711"/>
      </w:tblGrid>
      <w:tr w:rsidR="00AD75CC" w:rsidRPr="00926B7F" w14:paraId="4544D771" w14:textId="77777777">
        <w:trPr>
          <w:cantSplit/>
          <w:jc w:val="center"/>
        </w:trPr>
        <w:tc>
          <w:tcPr>
            <w:tcW w:w="2721" w:type="dxa"/>
            <w:shd w:val="clear" w:color="auto" w:fill="2F8F98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1181C56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Armazenamento</w:t>
            </w:r>
          </w:p>
        </w:tc>
        <w:tc>
          <w:tcPr>
            <w:tcW w:w="7711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503FE70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Manter em área fresca, coberta, ventilada e licenciada, longe de calor, faíscas e chamas.</w:t>
            </w:r>
          </w:p>
        </w:tc>
      </w:tr>
      <w:tr w:rsidR="00AD75CC" w:rsidRPr="00926B7F" w14:paraId="117CD016" w14:textId="77777777">
        <w:trPr>
          <w:cantSplit/>
          <w:jc w:val="center"/>
        </w:trPr>
        <w:tc>
          <w:tcPr>
            <w:tcW w:w="2721" w:type="dxa"/>
            <w:shd w:val="clear" w:color="auto" w:fill="2F8F98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D09F233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Conservação</w:t>
            </w:r>
          </w:p>
        </w:tc>
        <w:tc>
          <w:tcPr>
            <w:tcW w:w="7711" w:type="dxa"/>
            <w:shd w:val="clear" w:color="auto" w:fill="F5F8F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19D7ACE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Usar embalagem original homologada, fechada, identificada e compatível com o produto.</w:t>
            </w:r>
          </w:p>
        </w:tc>
      </w:tr>
      <w:tr w:rsidR="00AD75CC" w:rsidRPr="00926B7F" w14:paraId="3528D6AD" w14:textId="77777777">
        <w:trPr>
          <w:cantSplit/>
          <w:jc w:val="center"/>
        </w:trPr>
        <w:tc>
          <w:tcPr>
            <w:tcW w:w="2721" w:type="dxa"/>
            <w:shd w:val="clear" w:color="auto" w:fill="2F8F98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C4785A6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Após abertura</w:t>
            </w:r>
          </w:p>
        </w:tc>
        <w:tc>
          <w:tcPr>
            <w:tcW w:w="7711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DF3CB5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Fechar imediatamente; evitar água, oxigênio, contaminação e acúmulo de vapores.</w:t>
            </w:r>
          </w:p>
        </w:tc>
      </w:tr>
      <w:tr w:rsidR="00AD75CC" w:rsidRPr="00926B7F" w14:paraId="269745E0" w14:textId="77777777">
        <w:trPr>
          <w:cantSplit/>
          <w:jc w:val="center"/>
        </w:trPr>
        <w:tc>
          <w:tcPr>
            <w:tcW w:w="2721" w:type="dxa"/>
            <w:shd w:val="clear" w:color="auto" w:fill="2F8F98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C08C67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Validade</w:t>
            </w:r>
          </w:p>
        </w:tc>
        <w:tc>
          <w:tcPr>
            <w:tcW w:w="7711" w:type="dxa"/>
            <w:shd w:val="clear" w:color="auto" w:fill="F5F8F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7D7384A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Definir após estudo de estabilidade e compatibilidade com embalagem e combustível-alvo.</w:t>
            </w:r>
          </w:p>
        </w:tc>
      </w:tr>
      <w:tr w:rsidR="00AD75CC" w:rsidRPr="00926B7F" w14:paraId="67194782" w14:textId="77777777">
        <w:trPr>
          <w:cantSplit/>
          <w:jc w:val="center"/>
        </w:trPr>
        <w:tc>
          <w:tcPr>
            <w:tcW w:w="2721" w:type="dxa"/>
            <w:shd w:val="clear" w:color="auto" w:fill="2F8F98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46077CC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Apresentações</w:t>
            </w:r>
          </w:p>
        </w:tc>
        <w:tc>
          <w:tcPr>
            <w:tcW w:w="7711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E08348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Conforme concentração e configuração comercial aprovadas pela STS Innovations.</w:t>
            </w:r>
          </w:p>
        </w:tc>
      </w:tr>
      <w:tr w:rsidR="00AD75CC" w:rsidRPr="00926B7F" w14:paraId="4AB7EC71" w14:textId="77777777">
        <w:trPr>
          <w:cantSplit/>
          <w:jc w:val="center"/>
        </w:trPr>
        <w:tc>
          <w:tcPr>
            <w:tcW w:w="2721" w:type="dxa"/>
            <w:shd w:val="clear" w:color="auto" w:fill="2F8F98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D924B6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Transporte</w:t>
            </w:r>
          </w:p>
        </w:tc>
        <w:tc>
          <w:tcPr>
            <w:tcW w:w="7711" w:type="dxa"/>
            <w:shd w:val="clear" w:color="auto" w:fill="F5F8F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86235D4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Atender à classificação de produto perigoso da FDS e à regulamentação vigente.</w:t>
            </w:r>
          </w:p>
        </w:tc>
      </w:tr>
      <w:tr w:rsidR="00AD75CC" w:rsidRPr="00926B7F" w14:paraId="623D54F1" w14:textId="77777777">
        <w:trPr>
          <w:cantSplit/>
          <w:jc w:val="center"/>
        </w:trPr>
        <w:tc>
          <w:tcPr>
            <w:tcW w:w="2721" w:type="dxa"/>
            <w:shd w:val="clear" w:color="auto" w:fill="2F8F98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F69082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Rastreabilidade</w:t>
            </w:r>
          </w:p>
        </w:tc>
        <w:tc>
          <w:tcPr>
            <w:tcW w:w="7711" w:type="dxa"/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A127C74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Verificar lote, lacre, fabricação, validade, integridade e Certificado de Análise.</w:t>
            </w:r>
          </w:p>
        </w:tc>
      </w:tr>
    </w:tbl>
    <w:p w14:paraId="65F0837B" w14:textId="77777777" w:rsidR="006F1F01" w:rsidRDefault="000654D0">
      <w:pPr>
        <w:keepNext/>
        <w:pageBreakBefore/>
        <w:pBdr>
          <w:bottom w:val="single" w:sz="12" w:space="3" w:color="2B8A68"/>
        </w:pBdr>
        <w:spacing w:before="80" w:after="60"/>
        <w:jc w:val="left"/>
        <w:rPr>
          <w:rFonts w:hint="eastAsia"/>
        </w:rPr>
        <w:outlineLvl w:val="0"/>
      </w:pPr>
      <w:r>
        <w:rPr>
          <w:rFonts w:ascii="Aptos Display" w:hAnsi="Aptos Display"/>
          <w:b/>
          <w:color w:val="2F8F98"/>
          <w:sz w:val="26"/>
        </w:rPr>
        <w:t>SEGURANÇA E BOAS PRÁTICAS</w:t>
      </w:r>
    </w:p>
    <w:p w14:paraId="56F0EF08" w14:textId="77777777" w:rsidR="006F1F01" w:rsidRPr="006B2AFF" w:rsidRDefault="000654D0">
      <w:pPr>
        <w:pStyle w:val="Commarcadores"/>
        <w:spacing w:after="30"/>
        <w:ind w:left="255" w:hanging="113"/>
        <w:jc w:val="both"/>
        <w:rPr>
          <w:rFonts w:hint="eastAsia"/>
          <w:lang w:val="pt-BR"/>
        </w:rPr>
      </w:pPr>
      <w:r>
        <w:rPr>
          <w:color w:val="31383A"/>
          <w:sz w:val="17"/>
          <w:lang w:val="pt-BR"/>
        </w:rPr>
        <w:t>Concentrado combustível para uso profissional. Usar luvas, óculos, vestimenta e proteção respiratória conforme FDS e avaliação de risco.</w:t>
      </w:r>
    </w:p>
    <w:p w14:paraId="740EEE94" w14:textId="77777777" w:rsidR="006F1F01" w:rsidRPr="006B2AFF" w:rsidRDefault="000654D0">
      <w:pPr>
        <w:pStyle w:val="Commarcadores"/>
        <w:spacing w:after="30"/>
        <w:ind w:left="255" w:hanging="113"/>
        <w:jc w:val="both"/>
        <w:rPr>
          <w:rFonts w:hint="eastAsia"/>
          <w:lang w:val="pt-BR"/>
        </w:rPr>
      </w:pPr>
      <w:r>
        <w:rPr>
          <w:color w:val="31383A"/>
          <w:sz w:val="17"/>
          <w:lang w:val="pt-BR"/>
        </w:rPr>
        <w:t>Manter afastado de calor, faíscas, chamas e superfícies quentes; aterrar transferências e operar com ventilação adequada.</w:t>
      </w:r>
    </w:p>
    <w:p w14:paraId="7BE39A73" w14:textId="77777777" w:rsidR="006F1F01" w:rsidRPr="006B2AFF" w:rsidRDefault="000654D0">
      <w:pPr>
        <w:pStyle w:val="Commarcadores"/>
        <w:spacing w:after="30"/>
        <w:ind w:left="255" w:hanging="113"/>
        <w:jc w:val="both"/>
        <w:rPr>
          <w:rFonts w:hint="eastAsia"/>
          <w:lang w:val="pt-BR"/>
        </w:rPr>
      </w:pPr>
      <w:r>
        <w:rPr>
          <w:color w:val="31383A"/>
          <w:sz w:val="17"/>
          <w:lang w:val="pt-BR"/>
        </w:rPr>
        <w:t>Evitar inalação, contato e lançamento em solo, água ou drenagens. Conter derramamentos com material compatível.</w:t>
      </w:r>
    </w:p>
    <w:p w14:paraId="65A92330" w14:textId="77777777" w:rsidR="006F1F01" w:rsidRPr="006B2AFF" w:rsidRDefault="000654D0">
      <w:pPr>
        <w:pStyle w:val="Commarcadores"/>
        <w:spacing w:after="30"/>
        <w:ind w:left="255" w:hanging="113"/>
        <w:jc w:val="both"/>
        <w:rPr>
          <w:rFonts w:hint="eastAsia"/>
          <w:lang w:val="pt-BR"/>
        </w:rPr>
      </w:pPr>
      <w:r>
        <w:rPr>
          <w:color w:val="31383A"/>
          <w:sz w:val="17"/>
          <w:lang w:val="pt-BR"/>
        </w:rPr>
        <w:t>Não dosar em combustível comercial ou equipamento sem homologação. Consultar FDS, legislação e fabricante do combustível e do motor.</w:t>
      </w:r>
    </w:p>
    <w:p w14:paraId="24B7DA8E" w14:textId="77777777" w:rsidR="006F1F01" w:rsidRPr="006B2AFF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  <w:lang w:val="pt-BR"/>
        </w:rPr>
        <w:outlineLvl w:val="0"/>
      </w:pPr>
      <w:r>
        <w:rPr>
          <w:rFonts w:ascii="Aptos Display" w:hAnsi="Aptos Display"/>
          <w:b/>
          <w:color w:val="2F8F98"/>
          <w:sz w:val="26"/>
          <w:lang w:val="pt-BR"/>
        </w:rPr>
        <w:t>SUSTENTABILIDADE E DIFERENCIAIS STS</w:t>
      </w:r>
    </w:p>
    <w:p w14:paraId="3C484590" w14:textId="77777777" w:rsidR="006F1F01" w:rsidRPr="006B2AFF" w:rsidRDefault="000654D0">
      <w:pPr>
        <w:spacing w:after="60" w:line="240" w:lineRule="auto"/>
        <w:jc w:val="both"/>
        <w:rPr>
          <w:rFonts w:hint="eastAsia"/>
          <w:lang w:val="pt-BR"/>
        </w:rPr>
      </w:pPr>
      <w:r>
        <w:rPr>
          <w:color w:val="31383A"/>
          <w:lang w:val="pt-BR"/>
        </w:rPr>
        <w:t>A origem circular não comprova, isoladamente, menor pegada de carbono. O benefício deve ser calculado por ciclo de vida e por unidade funcional, considerando processamento, transporte, dose, variação de consumo, emissões de escapamento e durabilidade do equipamento.</w:t>
      </w:r>
    </w:p>
    <w:tbl>
      <w:tblPr>
        <w:tblW w:w="10432" w:type="dxa"/>
        <w:jc w:val="center"/>
        <w:tblBorders>
          <w:top w:val="single" w:sz="5" w:space="0" w:color="B7D2D0"/>
          <w:left w:val="single" w:sz="5" w:space="0" w:color="B7D2D0"/>
          <w:bottom w:val="single" w:sz="5" w:space="0" w:color="B7D2D0"/>
          <w:right w:val="single" w:sz="5" w:space="0" w:color="B7D2D0"/>
          <w:insideH w:val="single" w:sz="5" w:space="0" w:color="B7D2D0"/>
          <w:insideV w:val="single" w:sz="5" w:space="0" w:color="B7D2D0"/>
        </w:tblBorders>
        <w:tblLayout w:type="fixed"/>
        <w:tblLook w:val="04A0" w:firstRow="1" w:lastRow="0" w:firstColumn="1" w:lastColumn="0" w:noHBand="0" w:noVBand="1"/>
      </w:tblPr>
      <w:tblGrid>
        <w:gridCol w:w="3478"/>
        <w:gridCol w:w="3477"/>
        <w:gridCol w:w="3477"/>
      </w:tblGrid>
      <w:tr w:rsidR="00AD75CC" w:rsidRPr="00926B7F" w14:paraId="02D5A26D" w14:textId="77777777">
        <w:trPr>
          <w:cantSplit/>
          <w:jc w:val="center"/>
        </w:trPr>
        <w:tc>
          <w:tcPr>
            <w:tcW w:w="3458" w:type="dxa"/>
            <w:shd w:val="clear" w:color="auto" w:fill="EAF4F3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3BA18632" w14:textId="77777777" w:rsidR="00AD75CC" w:rsidRPr="00926B7F" w:rsidRDefault="009A7AEC">
            <w:pPr>
              <w:spacing w:after="0" w:line="240" w:lineRule="auto" w:before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2F8F98"/>
                <w:sz w:val="15"/>
                <w:lang w:val="pt-BR"/>
              </w:rPr>
              <w:t>ORIGEM CIRCULAR</w:t>
            </w:r>
          </w:p>
          <w:p>
            <w:pPr>
              <w:spacing w:before="0" w:after="0"/>
              <w:jc w:val="both"/>
            </w:pPr>
            <w:r>
              <w:rPr>
                <w:color w:val="31383A"/>
                <w:sz w:val="15"/>
                <w:lang w:val="pt-BR"/>
              </w:rPr>
              <w:t>Corrente residual beneficiada e rastreada.</w:t>
            </w:r>
          </w:p>
        </w:tc>
        <w:tc>
          <w:tcPr>
            <w:tcW w:w="3458" w:type="dxa"/>
            <w:shd w:val="clear" w:color="auto" w:fill="F5F8F7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3EA600AF" w14:textId="77777777" w:rsidR="00AD75CC" w:rsidRPr="00926B7F" w:rsidRDefault="009A7AEC">
            <w:pPr>
              <w:spacing w:after="0" w:line="240" w:lineRule="auto" w:before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2F8F98"/>
                <w:sz w:val="15"/>
                <w:lang w:val="pt-BR"/>
              </w:rPr>
              <w:t>BAIXA DOSAGEM</w:t>
            </w:r>
          </w:p>
          <w:p>
            <w:pPr>
              <w:spacing w:before="0" w:after="0"/>
              <w:jc w:val="both"/>
            </w:pPr>
            <w:r>
              <w:rPr>
                <w:color w:val="31383A"/>
                <w:sz w:val="15"/>
                <w:lang w:val="pt-BR"/>
              </w:rPr>
              <w:t>Potencial condicionado à curva funcional.</w:t>
            </w:r>
          </w:p>
        </w:tc>
        <w:tc>
          <w:tcPr>
            <w:tcW w:w="3458" w:type="dxa"/>
            <w:shd w:val="clear" w:color="auto" w:fill="EAF4F3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01750F39" w14:textId="77777777" w:rsidR="00AD75CC" w:rsidRPr="00926B7F" w:rsidRDefault="009A7AEC">
            <w:pPr>
              <w:spacing w:after="0" w:line="240" w:lineRule="auto" w:before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2F8F98"/>
                <w:sz w:val="15"/>
                <w:lang w:val="pt-BR"/>
              </w:rPr>
              <w:t>EFICIÊNCIA</w:t>
            </w:r>
          </w:p>
          <w:p>
            <w:pPr>
              <w:spacing w:before="0" w:after="0"/>
              <w:jc w:val="both"/>
            </w:pPr>
            <w:r>
              <w:rPr>
                <w:color w:val="31383A"/>
                <w:sz w:val="15"/>
                <w:lang w:val="pt-BR"/>
              </w:rPr>
              <w:t>Consumo medido em teste controlado.</w:t>
            </w:r>
          </w:p>
        </w:tc>
      </w:tr>
      <w:tr w:rsidR="00AD75CC" w:rsidRPr="00926B7F" w14:paraId="1275993C" w14:textId="77777777">
        <w:trPr>
          <w:cantSplit/>
          <w:jc w:val="center"/>
        </w:trPr>
        <w:tc>
          <w:tcPr>
            <w:tcW w:w="3458" w:type="dxa"/>
            <w:shd w:val="clear" w:color="auto" w:fill="F5F8F7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58C4E339" w14:textId="77777777" w:rsidR="00AD75CC" w:rsidRPr="00926B7F" w:rsidRDefault="009A7AEC">
            <w:pPr>
              <w:spacing w:after="0" w:line="240" w:lineRule="auto" w:before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2F8F98"/>
                <w:sz w:val="15"/>
                <w:lang w:val="pt-BR"/>
              </w:rPr>
              <w:t>EMISSÕES</w:t>
            </w:r>
          </w:p>
          <w:p>
            <w:pPr>
              <w:spacing w:before="0" w:after="0"/>
              <w:jc w:val="both"/>
            </w:pPr>
            <w:r>
              <w:rPr>
                <w:color w:val="31383A"/>
                <w:sz w:val="15"/>
                <w:lang w:val="pt-BR"/>
              </w:rPr>
              <w:t>Painel completo, sem seleção parcial.</w:t>
            </w:r>
          </w:p>
        </w:tc>
        <w:tc>
          <w:tcPr>
            <w:tcW w:w="3458" w:type="dxa"/>
            <w:shd w:val="clear" w:color="auto" w:fill="EAF4F3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144DECD1" w14:textId="77777777" w:rsidR="00AD75CC" w:rsidRPr="00926B7F" w:rsidRDefault="009A7AEC">
            <w:pPr>
              <w:spacing w:after="0" w:line="240" w:lineRule="auto" w:before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2F8F98"/>
                <w:sz w:val="15"/>
                <w:lang w:val="pt-BR"/>
              </w:rPr>
              <w:t>DURABILIDADE</w:t>
            </w:r>
          </w:p>
          <w:p>
            <w:pPr>
              <w:spacing w:before="0" w:after="0"/>
              <w:jc w:val="both"/>
            </w:pPr>
            <w:r>
              <w:rPr>
                <w:color w:val="31383A"/>
                <w:sz w:val="15"/>
                <w:lang w:val="pt-BR"/>
              </w:rPr>
              <w:t>Depósitos e desgaste acompanhados.</w:t>
            </w:r>
          </w:p>
        </w:tc>
        <w:tc>
          <w:tcPr>
            <w:tcW w:w="3458" w:type="dxa"/>
            <w:shd w:val="clear" w:color="auto" w:fill="F5F8F7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0C82D6C2" w14:textId="77777777" w:rsidR="00AD75CC" w:rsidRPr="00926B7F" w:rsidRDefault="009A7AEC">
            <w:pPr>
              <w:spacing w:after="0" w:line="240" w:lineRule="auto" w:before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2F8F98"/>
                <w:sz w:val="15"/>
                <w:lang w:val="pt-BR"/>
              </w:rPr>
              <w:t>EVIDÊNCIA</w:t>
            </w:r>
          </w:p>
          <w:p>
            <w:pPr>
              <w:spacing w:before="0" w:after="0"/>
              <w:jc w:val="both"/>
            </w:pPr>
            <w:r>
              <w:rPr>
                <w:color w:val="31383A"/>
                <w:sz w:val="15"/>
                <w:lang w:val="pt-BR"/>
              </w:rPr>
              <w:t>Ciclo de vida e repetibilidade.</w:t>
            </w:r>
          </w:p>
        </w:tc>
      </w:tr>
    </w:tbl>
    <w:p w14:paraId="44845495" w14:textId="77777777" w:rsidR="006F1F01" w:rsidRPr="006B2AFF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  <w:lang w:val="pt-BR"/>
        </w:rPr>
        <w:outlineLvl w:val="0"/>
      </w:pPr>
      <w:r>
        <w:rPr>
          <w:rFonts w:ascii="Aptos Display" w:hAnsi="Aptos Display"/>
          <w:b/>
          <w:color w:val="2F8F98"/>
          <w:sz w:val="26"/>
          <w:lang w:val="pt-BR"/>
        </w:rPr>
        <w:t>DESEMPENHO E PLANO DE VALIDAÇÃO</w:t>
      </w:r>
    </w:p>
    <w:p w14:paraId="23ADC467" w14:textId="77777777" w:rsidR="006F1F01" w:rsidRPr="006B2AFF" w:rsidRDefault="000654D0">
      <w:pPr>
        <w:spacing w:after="0" w:line="247" w:lineRule="auto"/>
        <w:jc w:val="both"/>
        <w:rPr>
          <w:rFonts w:hint="eastAsia"/>
          <w:lang w:val="pt-BR"/>
        </w:rPr>
      </w:pPr>
      <w:r>
        <w:rPr>
          <w:color w:val="31383A"/>
          <w:lang w:val="pt-BR"/>
        </w:rPr>
        <w:t>O plano deve ser estatístico, cego quando possível e com combustível-base único. Resultados de bancada não autorizam alegação em frota ou operação comercial.</w:t>
      </w:r>
    </w:p>
    <w:tbl>
      <w:tblPr>
        <w:tblW w:w="10432" w:type="dxa"/>
        <w:jc w:val="center"/>
        <w:tblBorders>
          <w:top w:val="single" w:sz="5" w:space="0" w:color="B7D2D0"/>
          <w:left w:val="single" w:sz="5" w:space="0" w:color="B7D2D0"/>
          <w:bottom w:val="single" w:sz="5" w:space="0" w:color="B7D2D0"/>
          <w:right w:val="single" w:sz="5" w:space="0" w:color="B7D2D0"/>
          <w:insideH w:val="single" w:sz="5" w:space="0" w:color="B7D2D0"/>
          <w:insideV w:val="single" w:sz="5" w:space="0" w:color="B7D2D0"/>
        </w:tblBorders>
        <w:tblLayout w:type="fixed"/>
        <w:tblLook w:val="04A0" w:firstRow="1" w:lastRow="0" w:firstColumn="1" w:lastColumn="0" w:noHBand="0" w:noVBand="1"/>
      </w:tblPr>
      <w:tblGrid>
        <w:gridCol w:w="3175"/>
        <w:gridCol w:w="7257"/>
      </w:tblGrid>
      <w:tr w:rsidR="00AD75CC" w14:paraId="36588753" w14:textId="77777777">
        <w:trPr>
          <w:cantSplit/>
          <w:jc w:val="center"/>
          <w:tblHeader w:val="true"/>
        </w:trPr>
        <w:tc>
          <w:tcPr>
            <w:tcW w:w="3175" w:type="dxa"/>
            <w:shd w:val="clear" w:color="auto" w:fill="184A52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C5468F3" w14:textId="77777777" w:rsidR="00AD75CC" w:rsidRDefault="009A7A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Indicador funcional</w:t>
            </w:r>
          </w:p>
        </w:tc>
        <w:tc>
          <w:tcPr>
            <w:tcW w:w="7257" w:type="dxa"/>
            <w:shd w:val="clear" w:color="auto" w:fill="184A52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D4B21B2" w14:textId="77777777" w:rsidR="00AD75CC" w:rsidRDefault="009A7A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Contribuição técnica</w:t>
            </w:r>
          </w:p>
        </w:tc>
      </w:tr>
      <w:tr w:rsidR="00AD75CC" w:rsidRPr="00926B7F" w14:paraId="242B8F76" w14:textId="77777777">
        <w:trPr>
          <w:cantSplit/>
          <w:jc w:val="center"/>
        </w:trPr>
        <w:tc>
          <w:tcPr>
            <w:tcW w:w="3175" w:type="dxa"/>
            <w:shd w:val="clear" w:color="auto" w:fill="EAF4F3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D4C56F0" w14:textId="77777777" w:rsidR="00AD75CC" w:rsidRPr="00926B7F" w:rsidRDefault="009A7AEC">
            <w:pPr>
              <w:spacing w:after="0" w:line="240" w:lineRule="auto" w:before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31383A"/>
                <w:sz w:val="16"/>
                <w:lang w:val="pt-BR"/>
              </w:rPr>
              <w:t>Compatibilidade</w:t>
            </w:r>
          </w:p>
        </w:tc>
        <w:tc>
          <w:tcPr>
            <w:tcW w:w="7257" w:type="dxa"/>
            <w:shd w:val="clear" w:color="auto" w:fill="EAF4F3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4B02294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Spot test, estabilidade total, sedimento e mistura de bunkers.</w:t>
            </w:r>
          </w:p>
        </w:tc>
      </w:tr>
      <w:tr w:rsidR="00AD75CC" w:rsidRPr="00926B7F" w14:paraId="76BE619C" w14:textId="77777777">
        <w:trPr>
          <w:cantSplit/>
          <w:jc w:val="center"/>
        </w:trPr>
        <w:tc>
          <w:tcPr>
            <w:tcW w:w="3175" w:type="dxa"/>
            <w:shd w:val="clear" w:color="auto" w:fill="F5F8F7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62B79E9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31383A"/>
                <w:sz w:val="16"/>
              </w:rPr>
              <w:t>Combustível</w:t>
            </w:r>
          </w:p>
        </w:tc>
        <w:tc>
          <w:tcPr>
            <w:tcW w:w="7257" w:type="dxa"/>
            <w:shd w:val="clear" w:color="auto" w:fill="F5F8F7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CF0A388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Viscosidade, densidade, fulgor, água, acidez, enxofre e cat fines.</w:t>
            </w:r>
          </w:p>
        </w:tc>
      </w:tr>
      <w:tr w:rsidR="00AD75CC" w:rsidRPr="00926B7F" w14:paraId="32E621D2" w14:textId="77777777">
        <w:trPr>
          <w:cantSplit/>
          <w:jc w:val="center"/>
        </w:trPr>
        <w:tc>
          <w:tcPr>
            <w:tcW w:w="3175" w:type="dxa"/>
            <w:shd w:val="clear" w:color="auto" w:fill="EAF4F3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0B38946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31383A"/>
                <w:sz w:val="16"/>
              </w:rPr>
              <w:t>Combustão</w:t>
            </w:r>
          </w:p>
        </w:tc>
        <w:tc>
          <w:tcPr>
            <w:tcW w:w="7257" w:type="dxa"/>
            <w:shd w:val="clear" w:color="auto" w:fill="EAF4F3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2A5EF9E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Atraso de ignição, pressão, consumo e estabilidade de chama.</w:t>
            </w:r>
          </w:p>
        </w:tc>
      </w:tr>
      <w:tr w:rsidR="00AD75CC" w:rsidRPr="00926B7F" w14:paraId="6FC1C410" w14:textId="77777777">
        <w:trPr>
          <w:cantSplit/>
          <w:jc w:val="center"/>
        </w:trPr>
        <w:tc>
          <w:tcPr>
            <w:tcW w:w="3175" w:type="dxa"/>
            <w:shd w:val="clear" w:color="auto" w:fill="F5F8F7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1AC34B7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31383A"/>
                <w:sz w:val="16"/>
              </w:rPr>
              <w:t>Depósitos</w:t>
            </w:r>
          </w:p>
        </w:tc>
        <w:tc>
          <w:tcPr>
            <w:tcW w:w="7257" w:type="dxa"/>
            <w:shd w:val="clear" w:color="auto" w:fill="F5F8F7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66F1D40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Purificador, filtros, injetores, cilindro, turbo e escape.</w:t>
            </w:r>
          </w:p>
        </w:tc>
      </w:tr>
      <w:tr w:rsidR="00AD75CC" w:rsidRPr="00926B7F" w14:paraId="7B6313CC" w14:textId="77777777">
        <w:trPr>
          <w:cantSplit/>
          <w:jc w:val="center"/>
        </w:trPr>
        <w:tc>
          <w:tcPr>
            <w:tcW w:w="3175" w:type="dxa"/>
            <w:shd w:val="clear" w:color="auto" w:fill="EAF4F3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78B9345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31383A"/>
                <w:sz w:val="16"/>
              </w:rPr>
              <w:t>Emissões</w:t>
            </w:r>
          </w:p>
        </w:tc>
        <w:tc>
          <w:tcPr>
            <w:tcW w:w="7257" w:type="dxa"/>
            <w:shd w:val="clear" w:color="auto" w:fill="EAF4F3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09DA8D7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CO₂, CO, NOx, SOx e particulados com balanço de combustível.</w:t>
            </w:r>
          </w:p>
        </w:tc>
      </w:tr>
    </w:tbl>
    <w:p w14:paraId="22FB7531" w14:textId="77777777" w:rsidR="006F1F01" w:rsidRPr="006B2AFF" w:rsidRDefault="000654D0">
      <w:pPr>
        <w:keepNext/>
        <w:pageBreakBefore/>
        <w:pBdr>
          <w:bottom w:val="single" w:sz="12" w:space="3" w:color="2B8A68"/>
        </w:pBdr>
        <w:spacing w:before="80" w:after="60"/>
        <w:jc w:val="left"/>
        <w:rPr>
          <w:rFonts w:hint="eastAsia"/>
          <w:lang w:val="pt-BR"/>
        </w:rPr>
        <w:outlineLvl w:val="0"/>
      </w:pPr>
      <w:r>
        <w:rPr>
          <w:rFonts w:ascii="Aptos Display" w:hAnsi="Aptos Display"/>
          <w:b/>
          <w:color w:val="2F8F98"/>
          <w:sz w:val="26"/>
          <w:lang w:val="pt-BR"/>
        </w:rPr>
        <w:t>DOCUMENTOS COMPLEMENTARES E SUPORTE TÉCNICO</w:t>
      </w:r>
    </w:p>
    <w:tbl>
      <w:tblPr>
        <w:tblW w:w="10432" w:type="dxa"/>
        <w:jc w:val="center"/>
        <w:tblBorders>
          <w:top w:val="single" w:sz="5" w:space="0" w:color="B7D2D0"/>
          <w:left w:val="single" w:sz="5" w:space="0" w:color="B7D2D0"/>
          <w:bottom w:val="single" w:sz="5" w:space="0" w:color="B7D2D0"/>
          <w:right w:val="single" w:sz="5" w:space="0" w:color="B7D2D0"/>
          <w:insideH w:val="single" w:sz="5" w:space="0" w:color="B7D2D0"/>
          <w:insideV w:val="single" w:sz="5" w:space="0" w:color="B7D2D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7030"/>
      </w:tblGrid>
      <w:tr w:rsidR="00AD75CC" w:rsidRPr="00926B7F" w14:paraId="0367DF04" w14:textId="77777777">
        <w:trPr>
          <w:cantSplit/>
          <w:jc w:val="center"/>
        </w:trPr>
        <w:tc>
          <w:tcPr>
            <w:tcW w:w="3402" w:type="dxa"/>
            <w:shd w:val="clear" w:color="auto" w:fill="2F8F9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3CBAAD9" w14:textId="77777777" w:rsidR="00AD75CC" w:rsidRPr="00926B7F" w:rsidRDefault="009A7AEC">
            <w:pPr>
              <w:spacing w:after="0" w:line="240" w:lineRule="auto" w:before="0"/>
              <w:jc w:val="left"/>
              <w:rPr>
                <w:rFonts w:hint="eastAsia"/>
                <w:lang w:val="pt-BR"/>
              </w:rPr>
            </w:pPr>
            <w:r>
              <w:rPr>
                <w:b/>
                <w:color w:val="FFFFFF"/>
                <w:sz w:val="16"/>
                <w:lang w:val="pt-BR"/>
              </w:rPr>
              <w:t>Ficha com Dados de Segurança - FDS</w:t>
            </w:r>
          </w:p>
        </w:tc>
        <w:tc>
          <w:tcPr>
            <w:tcW w:w="7030" w:type="dxa"/>
            <w:shd w:val="clear" w:color="auto" w:fill="FFFFFF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7661CB3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Consultar a versão vigente antes do manuseio, transporte, dosagem ou operação.</w:t>
            </w:r>
          </w:p>
        </w:tc>
      </w:tr>
      <w:tr w:rsidR="00AD75CC" w:rsidRPr="00926B7F" w14:paraId="3E0D9890" w14:textId="77777777">
        <w:trPr>
          <w:cantSplit/>
          <w:jc w:val="center"/>
        </w:trPr>
        <w:tc>
          <w:tcPr>
            <w:tcW w:w="3402" w:type="dxa"/>
            <w:shd w:val="clear" w:color="auto" w:fill="2F8F9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2E343B7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Certificado de Análise - CoA</w:t>
            </w:r>
          </w:p>
        </w:tc>
        <w:tc>
          <w:tcPr>
            <w:tcW w:w="7030" w:type="dxa"/>
            <w:shd w:val="clear" w:color="auto" w:fill="F5F8F7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3A9A437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Documento de liberação, composição, grau e rastreabilidade do lote.</w:t>
            </w:r>
          </w:p>
        </w:tc>
      </w:tr>
      <w:tr w:rsidR="00AD75CC" w:rsidRPr="00926B7F" w14:paraId="61272297" w14:textId="77777777">
        <w:trPr>
          <w:cantSplit/>
          <w:jc w:val="center"/>
        </w:trPr>
        <w:tc>
          <w:tcPr>
            <w:tcW w:w="3402" w:type="dxa"/>
            <w:shd w:val="clear" w:color="auto" w:fill="2F8F9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AA2AA33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Base técnica e regulatória</w:t>
            </w:r>
          </w:p>
        </w:tc>
        <w:tc>
          <w:tcPr>
            <w:tcW w:w="7030" w:type="dxa"/>
            <w:shd w:val="clear" w:color="auto" w:fill="FFFFFF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D6830DB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6"/>
                <w:lang w:val="pt-BR"/>
              </w:rPr>
              <w:t>ISO 8217 para combustíveis marítimos; MARPOL Anexo VI/IMO 2020; ASTM D4740, D4870, D664, D445, D93 e métodos IP aplicáveis.</w:t>
            </w:r>
          </w:p>
        </w:tc>
      </w:tr>
      <w:tr w:rsidR="00AD75CC" w14:paraId="6308880E" w14:textId="77777777">
        <w:trPr>
          <w:cantSplit/>
          <w:jc w:val="center"/>
        </w:trPr>
        <w:tc>
          <w:tcPr>
            <w:tcW w:w="3402" w:type="dxa"/>
            <w:shd w:val="clear" w:color="auto" w:fill="2F8F98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566DD50" w14:textId="77777777" w:rsidR="00AD75CC" w:rsidRDefault="009A7AEC">
            <w:pPr>
              <w:spacing w:after="0" w:line="240" w:lineRule="auto" w:before="0"/>
              <w:jc w:val="left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Suporte técnico STS Innovations</w:t>
            </w:r>
          </w:p>
        </w:tc>
        <w:tc>
          <w:tcPr>
            <w:tcW w:w="7030" w:type="dxa"/>
            <w:shd w:val="clear" w:color="auto" w:fill="F5F8F7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6451377" w14:textId="77777777" w:rsidR="00AD75CC" w:rsidRDefault="009A7AEC">
            <w:pPr>
              <w:spacing w:after="0" w:line="240" w:lineRule="auto" w:before="0"/>
              <w:jc w:val="both"/>
              <w:rPr>
                <w:rFonts w:hint="eastAsia"/>
              </w:rPr>
            </w:pPr>
            <w:r>
              <w:rPr>
                <w:color w:val="31383A"/>
                <w:sz w:val="16"/>
              </w:rPr>
              <w:t>contato@sts-innovations.com | +55 21 97448-8721 | www.sts-innovations.com</w:t>
            </w:r>
          </w:p>
        </w:tc>
      </w:tr>
    </w:tbl>
    <w:p w14:paraId="59587A65" w14:textId="77777777" w:rsidR="006F1F01" w:rsidRPr="006B2AFF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  <w:lang w:val="pt-BR"/>
        </w:rPr>
        <w:outlineLvl w:val="0"/>
      </w:pPr>
      <w:r>
        <w:rPr>
          <w:rFonts w:ascii="Aptos Display" w:hAnsi="Aptos Display"/>
          <w:b/>
          <w:color w:val="2F8F98"/>
          <w:sz w:val="26"/>
          <w:lang w:val="pt-BR"/>
        </w:rPr>
        <w:t>CONTROLE DE REVISÃO</w:t>
      </w:r>
    </w:p>
    <w:tbl>
      <w:tblPr>
        <w:tblW w:w="10432" w:type="dxa"/>
        <w:jc w:val="center"/>
        <w:tblBorders>
          <w:top w:val="single" w:sz="5" w:space="0" w:color="B7D2D0"/>
          <w:left w:val="single" w:sz="5" w:space="0" w:color="B7D2D0"/>
          <w:bottom w:val="single" w:sz="5" w:space="0" w:color="B7D2D0"/>
          <w:right w:val="single" w:sz="5" w:space="0" w:color="B7D2D0"/>
          <w:insideH w:val="single" w:sz="5" w:space="0" w:color="B7D2D0"/>
          <w:insideV w:val="single" w:sz="5" w:space="0" w:color="B7D2D0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1814"/>
        <w:gridCol w:w="2664"/>
        <w:gridCol w:w="4706"/>
      </w:tblGrid>
      <w:tr w:rsidR="00AD75CC" w14:paraId="38C9F31F" w14:textId="77777777">
        <w:trPr>
          <w:cantSplit/>
          <w:jc w:val="center"/>
          <w:tblHeader w:val="true"/>
        </w:trPr>
        <w:tc>
          <w:tcPr>
            <w:tcW w:w="1247" w:type="dxa"/>
            <w:shd w:val="clear" w:color="auto" w:fill="184A5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5C5174" w14:textId="77777777" w:rsidR="00AD75CC" w:rsidRDefault="009A7A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Revisão</w:t>
            </w:r>
          </w:p>
        </w:tc>
        <w:tc>
          <w:tcPr>
            <w:tcW w:w="1814" w:type="dxa"/>
            <w:shd w:val="clear" w:color="auto" w:fill="184A5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ADA409" w14:textId="77777777" w:rsidR="00AD75CC" w:rsidRDefault="009A7A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Data</w:t>
            </w:r>
          </w:p>
        </w:tc>
        <w:tc>
          <w:tcPr>
            <w:tcW w:w="2664" w:type="dxa"/>
            <w:shd w:val="clear" w:color="auto" w:fill="184A5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7ABF65" w14:textId="77777777" w:rsidR="00AD75CC" w:rsidRDefault="009A7A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Responsável</w:t>
            </w:r>
          </w:p>
        </w:tc>
        <w:tc>
          <w:tcPr>
            <w:tcW w:w="4706" w:type="dxa"/>
            <w:shd w:val="clear" w:color="auto" w:fill="184A5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0D3C2B" w14:textId="77777777" w:rsidR="00AD75CC" w:rsidRDefault="009A7A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Descrição da alteração</w:t>
            </w:r>
          </w:p>
        </w:tc>
      </w:tr>
      <w:tr w:rsidR="00AD75CC" w:rsidRPr="00926B7F" w14:paraId="182593C7" w14:textId="77777777">
        <w:trPr>
          <w:cantSplit/>
          <w:jc w:val="center"/>
        </w:trPr>
        <w:tc>
          <w:tcPr>
            <w:tcW w:w="1247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680BA43" w14:textId="77777777" w:rsidR="00AD75CC" w:rsidRDefault="009A7AEC">
            <w:pPr>
              <w:spacing w:after="0" w:line="240" w:lineRule="auto" w:before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00</w:t>
            </w:r>
          </w:p>
        </w:tc>
        <w:tc>
          <w:tcPr>
            <w:tcW w:w="1814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376798E" w14:textId="77777777" w:rsidR="00AD75CC" w:rsidRDefault="009A7AEC">
            <w:pPr>
              <w:spacing w:after="0" w:line="240" w:lineRule="auto" w:before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Setembro/2026</w:t>
            </w:r>
          </w:p>
        </w:tc>
        <w:tc>
          <w:tcPr>
            <w:tcW w:w="2664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321EE8F" w14:textId="77777777" w:rsidR="00AD75CC" w:rsidRDefault="009A7AEC">
            <w:pPr>
              <w:spacing w:after="0" w:line="240" w:lineRule="auto" w:before="0"/>
              <w:jc w:val="center"/>
              <w:rPr>
                <w:rFonts w:hint="eastAsia"/>
              </w:rPr>
            </w:pPr>
            <w:r>
              <w:rPr>
                <w:color w:val="31383A"/>
                <w:sz w:val="15"/>
              </w:rPr>
              <w:t>STS Innovations</w:t>
            </w:r>
          </w:p>
        </w:tc>
        <w:tc>
          <w:tcPr>
            <w:tcW w:w="4706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7C9EA11" w14:textId="77777777" w:rsidR="00AD75CC" w:rsidRPr="00926B7F" w:rsidRDefault="009A7AEC">
            <w:pPr>
              <w:spacing w:after="0" w:line="240" w:lineRule="auto" w:before="0"/>
              <w:jc w:val="both"/>
              <w:rPr>
                <w:rFonts w:hint="eastAsia"/>
                <w:lang w:val="pt-BR"/>
              </w:rPr>
            </w:pPr>
            <w:r>
              <w:rPr>
                <w:color w:val="31383A"/>
                <w:sz w:val="15"/>
                <w:lang w:val="pt-BR"/>
              </w:rPr>
              <w:t>Emissão inicial em versão preliminar para validação técnica, operacional, ambiental e regulatória.</w:t>
            </w:r>
          </w:p>
        </w:tc>
      </w:tr>
    </w:tbl>
    <w:p w14:paraId="3C66AE27" w14:textId="77777777" w:rsidR="006F1F01" w:rsidRPr="006B2AFF" w:rsidRDefault="000654D0">
      <w:pPr>
        <w:keepNext/>
        <w:pBdr>
          <w:bottom w:val="single" w:sz="12" w:space="3" w:color="2B8A68"/>
        </w:pBdr>
        <w:spacing w:before="80" w:after="60"/>
        <w:jc w:val="left"/>
        <w:rPr>
          <w:rFonts w:hint="eastAsia"/>
          <w:lang w:val="pt-BR"/>
        </w:rPr>
        <w:outlineLvl w:val="0"/>
      </w:pPr>
      <w:r>
        <w:rPr>
          <w:rFonts w:ascii="Aptos Display" w:hAnsi="Aptos Display"/>
          <w:b/>
          <w:color w:val="2F8F98"/>
          <w:sz w:val="26"/>
          <w:lang w:val="pt-BR"/>
        </w:rPr>
        <w:t>LIMITAÇÕES E RESPONSABILIDADE TÉCNICA</w:t>
      </w:r>
    </w:p>
    <w:p w14:paraId="4A33DBB8" w14:textId="77777777" w:rsidR="006F1F01" w:rsidRPr="00926B7F" w:rsidRDefault="000654D0">
      <w:pPr>
        <w:spacing w:after="0" w:line="245" w:lineRule="auto"/>
        <w:jc w:val="both"/>
        <w:rPr>
          <w:rFonts w:hint="eastAsia"/>
          <w:lang w:val="pt-BR"/>
        </w:rPr>
      </w:pPr>
      <w:r>
        <w:rPr>
          <w:color w:val="31383A"/>
          <w:lang w:val="pt-BR"/>
        </w:rPr>
        <w:t>Produto experimental. Não adicionar a bunker de navio ou tanque comercial sem compatibilidade, ISO 8217, aprovação do armador, motor e autoridade. Não alegar redução de SOx, CO₂, borra, consumo ou depósitos sem balanço e ensaio. O aditivo não corrige combustível fora de especificação.</w:t>
      </w:r>
    </w:p>
    <w:sectPr w:rsidR="006F1F01" w:rsidRPr="00926B7F" w:rsidSect="00034616">
      <w:headerReference w:type="default" r:id="rId9"/>
      <w:footerReference w:type="default" r:id="rId10"/>
      <w:pgSz w:w="12240" w:h="15840"/>
      <w:pgMar w:top="595" w:right="822" w:bottom="595" w:left="82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0D39B" w14:textId="77777777" w:rsidR="009A7AEC" w:rsidRDefault="009A7AE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22FFE6E" w14:textId="77777777" w:rsidR="009A7AEC" w:rsidRDefault="009A7AE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726C" w14:textId="77777777" w:rsidR="006F1F01" w:rsidRPr="006B2AFF" w:rsidRDefault="000654D0">
    <w:pPr>
      <w:pStyle w:val="Rodap"/>
      <w:jc w:val="center"/>
      <w:rPr>
        <w:rFonts w:hint="eastAsia"/>
        <w:lang w:val="pt-BR"/>
      </w:rPr>
    </w:pPr>
    <w:r w:rsidRPr="006B2AFF">
      <w:rPr>
        <w:color w:val="5B6467"/>
        <w:sz w:val="14"/>
        <w:lang w:val="pt-BR"/>
      </w:rPr>
      <w:t xml:space="preserve">STS </w:t>
    </w:r>
    <w:proofErr w:type="spellStart"/>
    <w:proofErr w:type="gramStart"/>
    <w:r w:rsidRPr="006B2AFF">
      <w:rPr>
        <w:color w:val="5B6467"/>
        <w:sz w:val="14"/>
        <w:lang w:val="pt-BR"/>
      </w:rPr>
      <w:t>Innovations</w:t>
    </w:r>
    <w:proofErr w:type="spellEnd"/>
    <w:r w:rsidRPr="006B2AFF">
      <w:rPr>
        <w:color w:val="5B6467"/>
        <w:sz w:val="14"/>
        <w:lang w:val="pt-BR"/>
      </w:rPr>
      <w:t xml:space="preserve">  •</w:t>
    </w:r>
    <w:proofErr w:type="gramEnd"/>
    <w:r w:rsidRPr="006B2AFF">
      <w:rPr>
        <w:color w:val="5B6467"/>
        <w:sz w:val="14"/>
        <w:lang w:val="pt-BR"/>
      </w:rPr>
      <w:t xml:space="preserve">  contato@sts-innovations.com  •  +55 21 97448-8721  •  www.sts-innovations.com</w:t>
    </w:r>
    <w:r w:rsidRPr="006B2AFF">
      <w:rPr>
        <w:lang w:val="pt-BR"/>
      </w:rPr>
      <w:br/>
    </w:r>
    <w:r w:rsidRPr="006B2AFF">
      <w:rPr>
        <w:i/>
        <w:color w:val="5B6467"/>
        <w:sz w:val="13"/>
        <w:lang w:val="pt-BR"/>
      </w:rPr>
      <w:t>A versão mais recente deste documento substitui as versões anteriores. Consulte a Ficha com Dados de Segurança antes do uso.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B6D0A" w14:textId="77777777" w:rsidR="009A7AEC" w:rsidRDefault="009A7AE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0632EA0" w14:textId="77777777" w:rsidR="009A7AEC" w:rsidRDefault="009A7AE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20F9" w14:textId="77777777" w:rsidR="006F1F01" w:rsidRDefault="006F1F01">
    <w:pPr>
      <w:pStyle w:val="Cabealho"/>
      <w:rPr>
        <w:rFonts w:hint="eastAsia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835"/>
      <w:gridCol w:w="7370"/>
    </w:tblGrid>
    <w:tr w:rsidR="006F1F01" w:rsidRPr="00926B7F" w14:paraId="33A3F645" w14:textId="77777777">
      <w:trPr>
        <w:jc w:val="center"/>
      </w:trPr>
      <w:tc>
        <w:tcPr>
          <w:tcW w:w="2835" w:type="dxa"/>
        </w:tcPr>
        <w:p w14:paraId="4448F23C" w14:textId="77777777" w:rsidR="006F1F01" w:rsidRDefault="000654D0">
          <w:pPr>
            <w:rPr>
              <w:rFonts w:hint="eastAsia"/>
            </w:rPr>
          </w:pPr>
          <w:r>
            <w:rPr>
              <w:noProof/>
            </w:rPr>
            <w:drawing>
              <wp:inline distT="0" distB="0" distL="0" distR="0" wp14:anchorId="03F941A9" wp14:editId="0C589078">
                <wp:extent cx="1188000" cy="1188000"/>
                <wp:effectExtent l="0" t="0" r="0" b="0"/>
                <wp:docPr id="7" name="Picture 1" descr="Logotipo corporativo da STS Innovations" title="Logotipo corporativo da STS Innovati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vetorizada(3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000" cy="11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0" w:type="dxa"/>
        </w:tcPr>
        <w:p w14:paraId="3D81B25A" w14:textId="77777777" w:rsidR="006F1F01" w:rsidRPr="006B2AFF" w:rsidRDefault="000654D0">
          <w:pPr>
            <w:spacing w:after="0"/>
            <w:jc w:val="right"/>
            <w:rPr>
              <w:rFonts w:hint="eastAsia"/>
              <w:lang w:val="pt-BR"/>
            </w:rPr>
          </w:pPr>
          <w:r w:rsidRPr="00926B7F">
            <w:rPr>
              <w:rFonts w:ascii="Aptos Display" w:hAnsi="Aptos Display"/>
              <w:b/>
              <w:color w:val="184A52"/>
              <w:sz w:val="24"/>
              <w:lang w:val="pt-BR"/>
            </w:rPr>
            <w:t>BOLETIM TÉCNICO</w:t>
          </w:r>
          <w:r w:rsidRPr="00926B7F">
            <w:rPr>
              <w:rFonts w:ascii="Aptos Display" w:hAnsi="Aptos Display"/>
              <w:b/>
              <w:color w:val="184A52"/>
              <w:sz w:val="24"/>
              <w:lang w:val="pt-BR"/>
            </w:rPr>
            <w:br/>
          </w:r>
          <w:r w:rsidRPr="00926B7F">
            <w:rPr>
              <w:color w:val="5B6467"/>
              <w:sz w:val="16"/>
              <w:lang w:val="pt-BR"/>
            </w:rPr>
            <w:t>BT-STS-ENE-009  |  Revisão 00  |  Setembro/2026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4D0"/>
    <w:rsid w:val="0015074B"/>
    <w:rsid w:val="0029639D"/>
    <w:rsid w:val="00326F90"/>
    <w:rsid w:val="006B2AFF"/>
    <w:rsid w:val="006F1F01"/>
    <w:rsid w:val="00867D45"/>
    <w:rsid w:val="00926B7F"/>
    <w:rsid w:val="00974795"/>
    <w:rsid w:val="009A7AEC"/>
    <w:rsid w:val="00A97C96"/>
    <w:rsid w:val="00AA1D8D"/>
    <w:rsid w:val="00AD75CC"/>
    <w:rsid w:val="00B47730"/>
    <w:rsid w:val="00CB0664"/>
    <w:rsid w:val="00EB167A"/>
    <w:rsid w:val="00EC39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CB849"/>
  <w14:defaultImageDpi w14:val="300"/>
  <w15:docId w15:val="{C3114F97-B34F-446B-B8E2-18CF2906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5383</TotalTime>
  <Pages>6</Pages>
  <Words>1713</Words>
  <Characters>9251</Characters>
  <Application>Microsoft Office Word</Application>
  <DocSecurity>0</DocSecurity>
  <Lines>77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Boletim Técnico AditGreen - STS Innovations</vt:lpstr>
      <vt:lpstr/>
    </vt:vector>
  </TitlesOfParts>
  <Manager/>
  <Company/>
  <LinksUpToDate>false</LinksUpToDate>
  <CharactersWithSpaces>10943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Boletim Técnico STS WaveBoost</dc:title>
  <dc:subject>Linha Energia - versão preliminar para validação</dc:subject>
  <dc:creator>STS Innovations</dc:creator>
  <cp:keywords>STS Innovations, Energia, boletim técnico, validação</cp:keywords>
  <dc:description>generated by python-docx</dc:description>
  <cp:lastModifiedBy>STS Innovations</cp:lastModifiedBy>
  <cp:revision>3</cp:revision>
  <dcterms:created xsi:type="dcterms:W3CDTF">2026-07-30T13:49:00Z</dcterms:created>
  <dcterms:modified xsi:type="dcterms:W3CDTF">2026-09-09T14:30:48Z</dcterms:modified>
  <cp:category/>
</cp:coreProperties>
</file>