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32" w:type="dxa"/>
        <w:jc w:val="center"/>
        <w:tblBorders>
          <w:top w:val="single" w:sz="5" w:space="0" w:color="B7D6D2"/>
          <w:left w:val="single" w:sz="5" w:space="0" w:color="B7D6D2"/>
          <w:bottom w:val="single" w:sz="5" w:space="0" w:color="B7D6D2"/>
          <w:right w:val="single" w:sz="5" w:space="0" w:color="B7D6D2"/>
          <w:insideH w:val="single" w:sz="5" w:space="0" w:color="B7D6D2"/>
          <w:insideV w:val="single" w:sz="5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6F1F01" w14:paraId="1BA9346C" w14:textId="77777777">
        <w:trPr>
          <w:cantSplit/>
          <w:jc w:val="center"/>
        </w:trPr>
        <w:tc>
          <w:tcPr>
            <w:tcW w:w="5298" w:type="dxa"/>
            <w:shd w:val="clear" w:color="auto" w:fill="EAF4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405A678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173F48"/>
                <w:sz w:val="50"/>
                <w:lang w:val="pt-BR"/>
              </w:rPr>
              <w:t>ADITGREEN®</w:t>
            </w:r>
            <w:r w:rsidRPr="006B2AFF">
              <w:rPr>
                <w:lang w:val="pt-BR"/>
              </w:rPr>
              <w:br/>
            </w:r>
            <w:r w:rsidRPr="006B2AFF">
              <w:rPr>
                <w:b/>
                <w:color w:val="2B8A68"/>
                <w:sz w:val="24"/>
                <w:lang w:val="pt-BR"/>
              </w:rPr>
              <w:t>Adjuvante agrícola multifuncional de base biológica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5B6467"/>
                <w:sz w:val="17"/>
                <w:lang w:val="pt-BR"/>
              </w:rPr>
              <w:t>Eficiência de aplicação com tecnologia oriunda da economia circular</w:t>
            </w:r>
          </w:p>
        </w:tc>
        <w:tc>
          <w:tcPr>
            <w:tcW w:w="5298" w:type="dxa"/>
            <w:shd w:val="clear" w:color="auto" w:fill="EAF4F2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7D0430D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993427D" wp14:editId="516A995D">
                  <wp:extent cx="2232000" cy="870480"/>
                  <wp:effectExtent l="0" t="0" r="0" b="0"/>
                  <wp:docPr id="1" name="Picture 1" descr="Identidade visual do produto ADITGREEN" title="Identidade visual do produto ADITGRE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ditgreen_bad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87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CDFE3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t>DESCRIÇÃO DO PRODUTO</w:t>
      </w:r>
    </w:p>
    <w:p w14:paraId="3135DA56" w14:textId="77777777" w:rsidR="006F1F01" w:rsidRPr="006B2AFF" w:rsidRDefault="000654D0">
      <w:pPr>
        <w:spacing w:after="40" w:line="245" w:lineRule="auto"/>
        <w:jc w:val="both"/>
        <w:rPr>
          <w:rFonts w:hint="eastAsia"/>
          <w:lang w:val="pt-BR"/>
        </w:rPr>
      </w:pPr>
      <w:proofErr w:type="spellStart"/>
      <w:r w:rsidRPr="00926B7F">
        <w:rPr>
          <w:color w:val="31383A"/>
          <w:lang w:val="pt-BR"/>
        </w:rPr>
        <w:t>AditGreen</w:t>
      </w:r>
      <w:proofErr w:type="spellEnd"/>
      <w:r w:rsidRPr="00926B7F">
        <w:rPr>
          <w:color w:val="31383A"/>
          <w:lang w:val="pt-BR"/>
        </w:rPr>
        <w:t xml:space="preserve">® é um adjuvante agrícola multifuncional, líquido e solúvel em água, desenvolvido pela STS </w:t>
      </w:r>
      <w:proofErr w:type="spellStart"/>
      <w:r w:rsidRPr="00926B7F">
        <w:rPr>
          <w:color w:val="31383A"/>
          <w:lang w:val="pt-BR"/>
        </w:rPr>
        <w:t>Innovations</w:t>
      </w:r>
      <w:proofErr w:type="spellEnd"/>
      <w:r w:rsidRPr="00926B7F">
        <w:rPr>
          <w:color w:val="31383A"/>
          <w:lang w:val="pt-BR"/>
        </w:rPr>
        <w:t xml:space="preserve"> por meio de Pesquisa, Desenvolvimento &amp; Inovação (PD&amp;I). Sua formulação de base biológica e biodegradável é obtida a partir da valorização de correntes renováveis de origem lignocelulósica, em alinhamento com os princípios da química verde e da economia circular.</w:t>
      </w:r>
    </w:p>
    <w:p w14:paraId="7A05EB08" w14:textId="77777777" w:rsidR="006F1F01" w:rsidRPr="006B2AFF" w:rsidRDefault="000654D0">
      <w:pPr>
        <w:spacing w:after="40" w:line="245" w:lineRule="auto"/>
        <w:jc w:val="both"/>
        <w:rPr>
          <w:rFonts w:hint="eastAsia"/>
          <w:lang w:val="pt-BR"/>
        </w:rPr>
      </w:pPr>
      <w:r w:rsidRPr="00926B7F">
        <w:rPr>
          <w:color w:val="31383A"/>
          <w:lang w:val="pt-BR"/>
        </w:rPr>
        <w:t xml:space="preserve">A tecnologia atua sobre propriedades físico-químicas da calda de pulverização, favorecendo a formação e deposição das gotas, o molhamento, o espalhamento, a aderência, a dispersão e a uniformidade de cobertura. Foi concebida para uso em tanque com defensivos agrícolas, fertilizantes foliares, micronutrientes e </w:t>
      </w:r>
      <w:proofErr w:type="spellStart"/>
      <w:r w:rsidRPr="00926B7F">
        <w:rPr>
          <w:color w:val="31383A"/>
          <w:lang w:val="pt-BR"/>
        </w:rPr>
        <w:t>bioinsumos</w:t>
      </w:r>
      <w:proofErr w:type="spellEnd"/>
      <w:r w:rsidRPr="00926B7F">
        <w:rPr>
          <w:color w:val="31383A"/>
          <w:lang w:val="pt-BR"/>
        </w:rPr>
        <w:t>, oferecendo praticidade operacional, melhor aproveitamento dos produtos aplicados e potencial redução do número de adjuvantes auxiliares empregados na operação.</w:t>
      </w:r>
    </w:p>
    <w:p w14:paraId="50169149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t>PRINCIPAIS BENEFÍCIOS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6F1F01" w:rsidRPr="00926B7F" w14:paraId="219083EB" w14:textId="77777777">
        <w:trPr>
          <w:cantSplit/>
          <w:jc w:val="center"/>
        </w:trPr>
        <w:tc>
          <w:tcPr>
            <w:tcW w:w="5216" w:type="dxa"/>
            <w:shd w:val="clear" w:color="auto" w:fill="EAF4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D06F45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Melhora a formação, a uniformidade e a deposição das gotas sobre o alvo.</w:t>
            </w:r>
          </w:p>
        </w:tc>
        <w:tc>
          <w:tcPr>
            <w:tcW w:w="5216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496410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Favorece o molhamento e o espalhamento da calda sobre a superfície tratada.</w:t>
            </w:r>
          </w:p>
        </w:tc>
      </w:tr>
      <w:tr w:rsidR="006F1F01" w:rsidRPr="00926B7F" w14:paraId="4365CB48" w14:textId="77777777">
        <w:trPr>
          <w:cantSplit/>
          <w:jc w:val="center"/>
        </w:trPr>
        <w:tc>
          <w:tcPr>
            <w:tcW w:w="5216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219A80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Auxilia a aderência e a permanência dos produtos aplicados.</w:t>
            </w:r>
          </w:p>
        </w:tc>
        <w:tc>
          <w:tcPr>
            <w:tcW w:w="5216" w:type="dxa"/>
            <w:shd w:val="clear" w:color="auto" w:fill="EAF4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30E8F4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Atua como dispersante e umectante, apoiando a homogeneidade da mistura.</w:t>
            </w:r>
          </w:p>
        </w:tc>
      </w:tr>
      <w:tr w:rsidR="006F1F01" w:rsidRPr="00926B7F" w14:paraId="3DA6831E" w14:textId="77777777">
        <w:trPr>
          <w:cantSplit/>
          <w:jc w:val="center"/>
        </w:trPr>
        <w:tc>
          <w:tcPr>
            <w:tcW w:w="5216" w:type="dxa"/>
            <w:shd w:val="clear" w:color="auto" w:fill="EAF4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345F8D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Auxilia a compatibilidade física e a estabilidade operacional da calda.</w:t>
            </w:r>
          </w:p>
        </w:tc>
        <w:tc>
          <w:tcPr>
            <w:tcW w:w="5216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42684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Pode contribuir para maior eficiência da pulverização e melhor aproveitamento dos insumos.</w:t>
            </w:r>
          </w:p>
        </w:tc>
      </w:tr>
      <w:tr w:rsidR="00AD75CC" w:rsidRPr="00926B7F" w14:paraId="31C74346" w14:textId="77777777">
        <w:trPr>
          <w:cantSplit/>
          <w:jc w:val="center"/>
        </w:trPr>
        <w:tc>
          <w:tcPr>
            <w:tcW w:w="5216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00F954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Formulação multifuncional, com potencial redução do uso de adjuvantes separados.</w:t>
            </w:r>
          </w:p>
        </w:tc>
        <w:tc>
          <w:tcPr>
            <w:tcW w:w="5216" w:type="dxa"/>
            <w:shd w:val="clear" w:color="auto" w:fill="EAF4F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69E6C8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Produto de base biológica, biodegradável e desenvolvido segundo princípios da economia circular.</w:t>
            </w:r>
          </w:p>
        </w:tc>
      </w:tr>
    </w:tbl>
    <w:p w14:paraId="446CAC3F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t>INDICAÇÕES DE USO</w:t>
      </w:r>
    </w:p>
    <w:tbl>
      <w:tblPr>
        <w:tblW w:w="10432" w:type="dxa"/>
        <w:jc w:val="center"/>
        <w:tblBorders>
          <w:top w:val="single" w:sz="6" w:space="0" w:color="B7D6D2"/>
          <w:left w:val="single" w:sz="6" w:space="0" w:color="B7D6D2"/>
          <w:bottom w:val="single" w:sz="6" w:space="0" w:color="B7D6D2"/>
          <w:right w:val="single" w:sz="6" w:space="0" w:color="B7D6D2"/>
          <w:insideH w:val="single" w:sz="6" w:space="0" w:color="B7D6D2"/>
          <w:insideV w:val="single" w:sz="6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6F1F01" w14:paraId="5B10E869" w14:textId="77777777">
        <w:trPr>
          <w:cantSplit/>
          <w:tblHeader/>
          <w:jc w:val="center"/>
        </w:trPr>
        <w:tc>
          <w:tcPr>
            <w:tcW w:w="2649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8C23C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Defensivos</w:t>
            </w:r>
          </w:p>
        </w:tc>
        <w:tc>
          <w:tcPr>
            <w:tcW w:w="2649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02701" w14:textId="77777777" w:rsidR="006F1F01" w:rsidRDefault="000654D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Nutrição</w:t>
            </w:r>
            <w:proofErr w:type="spellEnd"/>
            <w:r>
              <w:rPr>
                <w:b/>
                <w:color w:val="FFFFFF"/>
                <w:sz w:val="16"/>
              </w:rPr>
              <w:t xml:space="preserve"> foliar</w:t>
            </w:r>
          </w:p>
        </w:tc>
        <w:tc>
          <w:tcPr>
            <w:tcW w:w="2649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45157A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Bioinsumos</w:t>
            </w:r>
          </w:p>
        </w:tc>
        <w:tc>
          <w:tcPr>
            <w:tcW w:w="2649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5A111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Tecnologias de aplicação</w:t>
            </w:r>
          </w:p>
        </w:tc>
      </w:tr>
      <w:tr w:rsidR="006F1F01" w:rsidRPr="00926B7F" w14:paraId="402FE0F9" w14:textId="77777777">
        <w:trPr>
          <w:cantSplit/>
          <w:jc w:val="center"/>
        </w:trPr>
        <w:tc>
          <w:tcPr>
            <w:tcW w:w="2649" w:type="dxa"/>
            <w:shd w:val="clear" w:color="auto" w:fill="F5F8F7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2B0D8D1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color w:val="173F48"/>
                <w:sz w:val="15"/>
              </w:rPr>
              <w:t>Herbicidas, fungicidas e inseticidas</w:t>
            </w:r>
          </w:p>
        </w:tc>
        <w:tc>
          <w:tcPr>
            <w:tcW w:w="2649" w:type="dxa"/>
            <w:shd w:val="clear" w:color="auto" w:fill="F5F8F7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57A8724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color w:val="173F48"/>
                <w:sz w:val="15"/>
              </w:rPr>
              <w:t>Fertilizantes foliares e micronutrientes</w:t>
            </w:r>
          </w:p>
        </w:tc>
        <w:tc>
          <w:tcPr>
            <w:tcW w:w="2649" w:type="dxa"/>
            <w:shd w:val="clear" w:color="auto" w:fill="F5F8F7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89F5948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color w:val="173F48"/>
                <w:sz w:val="15"/>
              </w:rPr>
              <w:t>Biofertilizantes e produtos biológicos</w:t>
            </w:r>
          </w:p>
        </w:tc>
        <w:tc>
          <w:tcPr>
            <w:tcW w:w="2649" w:type="dxa"/>
            <w:shd w:val="clear" w:color="auto" w:fill="F5F8F7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6430D387" w14:textId="77777777" w:rsidR="006F1F01" w:rsidRPr="006B2AFF" w:rsidRDefault="000654D0">
            <w:pPr>
              <w:jc w:val="center"/>
              <w:rPr>
                <w:rFonts w:hint="eastAsia"/>
                <w:lang w:val="pt-BR"/>
              </w:rPr>
            </w:pPr>
            <w:r w:rsidRPr="006B2AFF">
              <w:rPr>
                <w:color w:val="173F48"/>
                <w:sz w:val="15"/>
                <w:lang w:val="pt-BR"/>
              </w:rPr>
              <w:t>Aplicações terrestres, autopropelidas e aéreas*</w:t>
            </w:r>
          </w:p>
        </w:tc>
      </w:tr>
    </w:tbl>
    <w:p w14:paraId="07D67EC3" w14:textId="77777777" w:rsidR="006F1F01" w:rsidRPr="006B2AFF" w:rsidRDefault="000654D0">
      <w:pPr>
        <w:spacing w:after="0" w:line="247" w:lineRule="auto"/>
        <w:jc w:val="both"/>
        <w:rPr>
          <w:rFonts w:hint="eastAsia"/>
          <w:lang w:val="pt-BR"/>
        </w:rPr>
      </w:pPr>
      <w:r w:rsidRPr="006B2AFF">
        <w:rPr>
          <w:color w:val="31383A"/>
          <w:lang w:val="pt-BR"/>
        </w:rPr>
        <w:t>*A adequação da aplicação aérea ou por drone deve considerar o produto associado, volume de calda, cultura, condições meteorológicas, bicos e parâmetros operacionais.</w:t>
      </w:r>
    </w:p>
    <w:p w14:paraId="4AC9AB32" w14:textId="77777777" w:rsidR="006F1F01" w:rsidRPr="006B2AFF" w:rsidRDefault="000654D0">
      <w:pPr>
        <w:rPr>
          <w:rFonts w:hint="eastAsia"/>
          <w:lang w:val="pt-BR"/>
        </w:rPr>
      </w:pPr>
      <w:r w:rsidRPr="006B2AFF">
        <w:rPr>
          <w:lang w:val="pt-BR"/>
        </w:rPr>
        <w:br w:type="page"/>
      </w:r>
    </w:p>
    <w:p w14:paraId="35B98B62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lastRenderedPageBreak/>
        <w:t>FUNÇÕES E MECANISMO DE AÇÃO</w:t>
      </w:r>
    </w:p>
    <w:p w14:paraId="2A250FDC" w14:textId="77777777" w:rsidR="006F1F01" w:rsidRPr="006B2AFF" w:rsidRDefault="000654D0">
      <w:pPr>
        <w:spacing w:after="60" w:line="245" w:lineRule="auto"/>
        <w:jc w:val="both"/>
        <w:rPr>
          <w:rFonts w:hint="eastAsia"/>
          <w:lang w:val="pt-BR"/>
        </w:rPr>
      </w:pPr>
      <w:proofErr w:type="spellStart"/>
      <w:r w:rsidRPr="00926B7F">
        <w:rPr>
          <w:color w:val="31383A"/>
          <w:lang w:val="pt-BR"/>
        </w:rPr>
        <w:t>AditGreen</w:t>
      </w:r>
      <w:proofErr w:type="spellEnd"/>
      <w:r w:rsidRPr="00926B7F">
        <w:rPr>
          <w:color w:val="31383A"/>
          <w:lang w:val="pt-BR"/>
        </w:rPr>
        <w:t>® modifica a interface entre a calda, as gotas e a superfície-alvo. A combinação de caráter tensoativo, dispersante, umectante e adesivo auxilia a redução da tensão superficial da água, favorece a distribuição da solução, reduz falhas de cobertura e contribui para a manutenção dos componentes da calda em condição homogênea durante o preparo e a aplicação.</w:t>
      </w:r>
    </w:p>
    <w:tbl>
      <w:tblPr>
        <w:tblW w:w="10432" w:type="dxa"/>
        <w:jc w:val="center"/>
        <w:tblBorders>
          <w:top w:val="single" w:sz="6" w:space="0" w:color="B7D6D2"/>
          <w:left w:val="single" w:sz="6" w:space="0" w:color="B7D6D2"/>
          <w:bottom w:val="single" w:sz="6" w:space="0" w:color="B7D6D2"/>
          <w:right w:val="single" w:sz="6" w:space="0" w:color="B7D6D2"/>
          <w:insideH w:val="single" w:sz="6" w:space="0" w:color="B7D6D2"/>
          <w:insideV w:val="single" w:sz="6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6F1F01" w:rsidRPr="00926B7F" w14:paraId="1F24B1E2" w14:textId="77777777">
        <w:trPr>
          <w:cantSplit/>
          <w:jc w:val="center"/>
        </w:trPr>
        <w:tc>
          <w:tcPr>
            <w:tcW w:w="5298" w:type="dxa"/>
            <w:shd w:val="clear" w:color="auto" w:fill="EAF4F2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6ADE3BEB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UMECTANTE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Prolonga o contato da fase líquida com a superfície tratada.</w:t>
            </w:r>
          </w:p>
        </w:tc>
        <w:tc>
          <w:tcPr>
            <w:tcW w:w="5298" w:type="dxa"/>
            <w:shd w:val="clear" w:color="auto" w:fill="F5F8F7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6AAD8DC5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ESPALHANTE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Favorece a distribuição da gota e a ampliação da área coberta.</w:t>
            </w:r>
          </w:p>
        </w:tc>
      </w:tr>
      <w:tr w:rsidR="006F1F01" w:rsidRPr="00926B7F" w14:paraId="6807FA92" w14:textId="77777777">
        <w:trPr>
          <w:cantSplit/>
          <w:jc w:val="center"/>
        </w:trPr>
        <w:tc>
          <w:tcPr>
            <w:tcW w:w="5298" w:type="dxa"/>
            <w:shd w:val="clear" w:color="auto" w:fill="EAF4F2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5DC8F37B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ADERENTE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Auxilia a retenção da calda e reduz perdas por ricochete ou escorrimento.</w:t>
            </w:r>
          </w:p>
        </w:tc>
        <w:tc>
          <w:tcPr>
            <w:tcW w:w="5298" w:type="dxa"/>
            <w:shd w:val="clear" w:color="auto" w:fill="F5F8F7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0131A15C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DISPERSANTE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Contribui para a distribuição homogênea de partículas e componentes da mistura.</w:t>
            </w:r>
          </w:p>
        </w:tc>
      </w:tr>
      <w:tr w:rsidR="006F1F01" w:rsidRPr="00926B7F" w14:paraId="79896B21" w14:textId="77777777">
        <w:trPr>
          <w:cantSplit/>
          <w:jc w:val="center"/>
        </w:trPr>
        <w:tc>
          <w:tcPr>
            <w:tcW w:w="5298" w:type="dxa"/>
            <w:shd w:val="clear" w:color="auto" w:fill="EAF4F2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15249D11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CONDICIONADOR DE CALDA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Apoia a qualidade física da pulverização e a uniformidade operacional.</w:t>
            </w:r>
          </w:p>
        </w:tc>
        <w:tc>
          <w:tcPr>
            <w:tcW w:w="5298" w:type="dxa"/>
            <w:shd w:val="clear" w:color="auto" w:fill="F5F8F7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38AA54F1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b/>
                <w:color w:val="2F8F98"/>
                <w:lang w:val="pt-BR"/>
              </w:rPr>
              <w:t>MULTIFUNCIONAL</w:t>
            </w:r>
            <w:r w:rsidRPr="006B2AFF">
              <w:rPr>
                <w:lang w:val="pt-BR"/>
              </w:rPr>
              <w:br/>
            </w:r>
            <w:r w:rsidRPr="006B2AFF">
              <w:rPr>
                <w:color w:val="31383A"/>
                <w:sz w:val="16"/>
                <w:lang w:val="pt-BR"/>
              </w:rPr>
              <w:t>Reúne diferentes funções agronômicas em uma única formulação.</w:t>
            </w:r>
          </w:p>
        </w:tc>
      </w:tr>
    </w:tbl>
    <w:p w14:paraId="27DFB911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t>PROPRIEDADES FÍSICO-QUÍMICAS TÍPICAS</w:t>
      </w:r>
    </w:p>
    <w:p w14:paraId="4CCB8031" w14:textId="77777777" w:rsidR="006F1F01" w:rsidRPr="006B2AFF" w:rsidRDefault="000654D0">
      <w:pPr>
        <w:spacing w:after="40" w:line="240" w:lineRule="auto"/>
        <w:jc w:val="both"/>
        <w:rPr>
          <w:rFonts w:hint="eastAsia"/>
          <w:lang w:val="pt-BR"/>
        </w:rPr>
      </w:pPr>
      <w:r w:rsidRPr="00926B7F">
        <w:rPr>
          <w:i/>
          <w:color w:val="5B6467"/>
          <w:sz w:val="16"/>
          <w:lang w:val="pt-BR"/>
        </w:rPr>
        <w:t>Faixas adotadas para controle técnico e para o padrão de fornecimento do produto comercial.</w:t>
      </w:r>
    </w:p>
    <w:tbl>
      <w:tblPr>
        <w:tblW w:w="10432" w:type="dxa"/>
        <w:jc w:val="center"/>
        <w:tblBorders>
          <w:top w:val="single" w:sz="6" w:space="0" w:color="B7D6D2"/>
          <w:left w:val="single" w:sz="6" w:space="0" w:color="B7D6D2"/>
          <w:bottom w:val="single" w:sz="6" w:space="0" w:color="B7D6D2"/>
          <w:right w:val="single" w:sz="6" w:space="0" w:color="B7D6D2"/>
          <w:insideH w:val="single" w:sz="6" w:space="0" w:color="B7D6D2"/>
          <w:insideV w:val="single" w:sz="6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3465"/>
        <w:gridCol w:w="3503"/>
        <w:gridCol w:w="3464"/>
      </w:tblGrid>
      <w:tr w:rsidR="006F1F01" w14:paraId="3B7F4B03" w14:textId="77777777">
        <w:trPr>
          <w:cantSplit/>
          <w:tblHeader/>
          <w:jc w:val="center"/>
        </w:trPr>
        <w:tc>
          <w:tcPr>
            <w:tcW w:w="3532" w:type="dxa"/>
            <w:shd w:val="clear" w:color="auto" w:fill="173F4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1A86D" w14:textId="77777777" w:rsidR="006F1F01" w:rsidRDefault="000654D0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Propriedade</w:t>
            </w:r>
            <w:proofErr w:type="spellEnd"/>
          </w:p>
        </w:tc>
        <w:tc>
          <w:tcPr>
            <w:tcW w:w="3532" w:type="dxa"/>
            <w:shd w:val="clear" w:color="auto" w:fill="173F4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A72227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Faixa / característica</w:t>
            </w:r>
          </w:p>
        </w:tc>
        <w:tc>
          <w:tcPr>
            <w:tcW w:w="3532" w:type="dxa"/>
            <w:shd w:val="clear" w:color="auto" w:fill="173F4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D63A17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Referência de avaliação</w:t>
            </w:r>
          </w:p>
        </w:tc>
      </w:tr>
      <w:tr w:rsidR="006F1F01" w14:paraId="609EF50E" w14:textId="77777777">
        <w:trPr>
          <w:cantSplit/>
          <w:jc w:val="center"/>
        </w:trPr>
        <w:tc>
          <w:tcPr>
            <w:tcW w:w="323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D6D96F2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Aspecto</w:t>
            </w:r>
          </w:p>
        </w:tc>
        <w:tc>
          <w:tcPr>
            <w:tcW w:w="357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0448820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Líquido homogêneo</w:t>
            </w:r>
          </w:p>
        </w:tc>
        <w:tc>
          <w:tcPr>
            <w:tcW w:w="3175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026EEAB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Avaliação visual</w:t>
            </w:r>
          </w:p>
        </w:tc>
      </w:tr>
      <w:tr w:rsidR="006F1F01" w14:paraId="411B65A0" w14:textId="77777777">
        <w:trPr>
          <w:cantSplit/>
          <w:jc w:val="center"/>
        </w:trPr>
        <w:tc>
          <w:tcPr>
            <w:tcW w:w="3231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D2BF93F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Cor</w:t>
            </w:r>
          </w:p>
        </w:tc>
        <w:tc>
          <w:tcPr>
            <w:tcW w:w="3572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B05B397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Marrom a marrom-escuro</w:t>
            </w:r>
          </w:p>
        </w:tc>
        <w:tc>
          <w:tcPr>
            <w:tcW w:w="3175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4C76932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Avaliação visual</w:t>
            </w:r>
          </w:p>
        </w:tc>
      </w:tr>
      <w:tr w:rsidR="006F1F01" w14:paraId="7BAA4862" w14:textId="77777777">
        <w:trPr>
          <w:cantSplit/>
          <w:jc w:val="center"/>
        </w:trPr>
        <w:tc>
          <w:tcPr>
            <w:tcW w:w="323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3168962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Odor</w:t>
            </w:r>
          </w:p>
        </w:tc>
        <w:tc>
          <w:tcPr>
            <w:tcW w:w="357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2A161C6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Característico</w:t>
            </w:r>
          </w:p>
        </w:tc>
        <w:tc>
          <w:tcPr>
            <w:tcW w:w="3175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2430B55C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Avaliação organoléptica</w:t>
            </w:r>
          </w:p>
        </w:tc>
      </w:tr>
      <w:tr w:rsidR="006F1F01" w14:paraId="517AFCE9" w14:textId="77777777">
        <w:trPr>
          <w:cantSplit/>
          <w:jc w:val="center"/>
        </w:trPr>
        <w:tc>
          <w:tcPr>
            <w:tcW w:w="3231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4EA7E01F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pH a 25 °C</w:t>
            </w:r>
          </w:p>
        </w:tc>
        <w:tc>
          <w:tcPr>
            <w:tcW w:w="3572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94DDD4E" w14:textId="77777777" w:rsidR="006F1F01" w:rsidRDefault="006B2AFF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10</w:t>
            </w:r>
            <w:r w:rsidR="000654D0">
              <w:rPr>
                <w:color w:val="31383A"/>
                <w:sz w:val="15"/>
              </w:rPr>
              <w:t>,0 a 1</w:t>
            </w:r>
            <w:r>
              <w:rPr>
                <w:color w:val="31383A"/>
                <w:sz w:val="15"/>
              </w:rPr>
              <w:t>2</w:t>
            </w:r>
            <w:r w:rsidR="000654D0">
              <w:rPr>
                <w:color w:val="31383A"/>
                <w:sz w:val="15"/>
              </w:rPr>
              <w:t>,0</w:t>
            </w:r>
          </w:p>
        </w:tc>
        <w:tc>
          <w:tcPr>
            <w:tcW w:w="3175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B2FBD38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Potenciometria</w:t>
            </w:r>
          </w:p>
        </w:tc>
      </w:tr>
      <w:tr w:rsidR="006F1F01" w14:paraId="0045CDF4" w14:textId="77777777">
        <w:trPr>
          <w:cantSplit/>
          <w:jc w:val="center"/>
        </w:trPr>
        <w:tc>
          <w:tcPr>
            <w:tcW w:w="323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645623D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Densidade a 25 °C</w:t>
            </w:r>
          </w:p>
        </w:tc>
        <w:tc>
          <w:tcPr>
            <w:tcW w:w="357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5ED6B811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1,</w:t>
            </w:r>
            <w:r w:rsidR="00EC39E0">
              <w:rPr>
                <w:color w:val="31383A"/>
                <w:sz w:val="15"/>
              </w:rPr>
              <w:t>0</w:t>
            </w:r>
            <w:r>
              <w:rPr>
                <w:color w:val="31383A"/>
                <w:sz w:val="15"/>
              </w:rPr>
              <w:t>0 a 1,</w:t>
            </w:r>
            <w:r w:rsidR="00EC39E0">
              <w:rPr>
                <w:color w:val="31383A"/>
                <w:sz w:val="15"/>
              </w:rPr>
              <w:t>1</w:t>
            </w:r>
            <w:r>
              <w:rPr>
                <w:color w:val="31383A"/>
                <w:sz w:val="15"/>
              </w:rPr>
              <w:t>0 g/cm³</w:t>
            </w:r>
          </w:p>
        </w:tc>
        <w:tc>
          <w:tcPr>
            <w:tcW w:w="3175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6E605265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Densimetria</w:t>
            </w:r>
          </w:p>
        </w:tc>
      </w:tr>
      <w:tr w:rsidR="006F1F01" w14:paraId="5A1F34E2" w14:textId="77777777">
        <w:trPr>
          <w:cantSplit/>
          <w:jc w:val="center"/>
        </w:trPr>
        <w:tc>
          <w:tcPr>
            <w:tcW w:w="3231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10FAB46E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Teor de sólidos</w:t>
            </w:r>
          </w:p>
        </w:tc>
        <w:tc>
          <w:tcPr>
            <w:tcW w:w="3572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CE88892" w14:textId="77777777" w:rsidR="006F1F01" w:rsidRDefault="00EC39E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7</w:t>
            </w:r>
            <w:r w:rsidR="000654D0">
              <w:rPr>
                <w:color w:val="31383A"/>
                <w:sz w:val="15"/>
              </w:rPr>
              <w:t xml:space="preserve"> a </w:t>
            </w:r>
            <w:r>
              <w:rPr>
                <w:color w:val="31383A"/>
                <w:sz w:val="15"/>
              </w:rPr>
              <w:t>12</w:t>
            </w:r>
            <w:r w:rsidR="000654D0">
              <w:rPr>
                <w:color w:val="31383A"/>
                <w:sz w:val="15"/>
              </w:rPr>
              <w:t>% (m/m)</w:t>
            </w:r>
          </w:p>
        </w:tc>
        <w:tc>
          <w:tcPr>
            <w:tcW w:w="3175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FCC427A" w14:textId="77777777" w:rsidR="006F1F01" w:rsidRDefault="00EC39E0">
            <w:pPr>
              <w:rPr>
                <w:rFonts w:hint="eastAsia"/>
              </w:rPr>
            </w:pPr>
            <w:proofErr w:type="spellStart"/>
            <w:r>
              <w:rPr>
                <w:color w:val="31383A"/>
                <w:sz w:val="15"/>
              </w:rPr>
              <w:t>Evaporação</w:t>
            </w:r>
            <w:proofErr w:type="spellEnd"/>
          </w:p>
        </w:tc>
      </w:tr>
      <w:tr w:rsidR="006F1F01" w14:paraId="3850BB25" w14:textId="77777777">
        <w:trPr>
          <w:cantSplit/>
          <w:jc w:val="center"/>
        </w:trPr>
        <w:tc>
          <w:tcPr>
            <w:tcW w:w="3231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A3CB7F6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Solubilidade em água</w:t>
            </w:r>
          </w:p>
        </w:tc>
        <w:tc>
          <w:tcPr>
            <w:tcW w:w="3572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66A4DDC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Solúvel / dispersível</w:t>
            </w:r>
          </w:p>
        </w:tc>
        <w:tc>
          <w:tcPr>
            <w:tcW w:w="3175" w:type="dxa"/>
            <w:shd w:val="clear" w:color="auto" w:fill="FFFFFF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7399D35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Avaliação de miscibilidade</w:t>
            </w:r>
          </w:p>
        </w:tc>
      </w:tr>
      <w:tr w:rsidR="006F1F01" w14:paraId="4F6EF87E" w14:textId="77777777">
        <w:trPr>
          <w:cantSplit/>
          <w:jc w:val="center"/>
        </w:trPr>
        <w:tc>
          <w:tcPr>
            <w:tcW w:w="3231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0C283976" w14:textId="77777777" w:rsidR="006F1F01" w:rsidRDefault="000654D0">
            <w:pPr>
              <w:rPr>
                <w:rFonts w:hint="eastAsia"/>
              </w:rPr>
            </w:pPr>
            <w:r>
              <w:rPr>
                <w:b/>
                <w:color w:val="31383A"/>
                <w:sz w:val="15"/>
              </w:rPr>
              <w:t>Natureza iônica</w:t>
            </w:r>
          </w:p>
        </w:tc>
        <w:tc>
          <w:tcPr>
            <w:tcW w:w="3572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7E310E20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Predominantemente aniônica</w:t>
            </w:r>
          </w:p>
        </w:tc>
        <w:tc>
          <w:tcPr>
            <w:tcW w:w="3175" w:type="dxa"/>
            <w:shd w:val="clear" w:color="auto" w:fill="F5F8F7"/>
            <w:tcMar>
              <w:top w:w="75" w:type="dxa"/>
              <w:left w:w="90" w:type="dxa"/>
              <w:bottom w:w="75" w:type="dxa"/>
              <w:right w:w="90" w:type="dxa"/>
            </w:tcMar>
          </w:tcPr>
          <w:p w14:paraId="3AF7CC8C" w14:textId="77777777" w:rsidR="006F1F01" w:rsidRDefault="000654D0">
            <w:pPr>
              <w:rPr>
                <w:rFonts w:hint="eastAsia"/>
              </w:rPr>
            </w:pPr>
            <w:r>
              <w:rPr>
                <w:color w:val="31383A"/>
                <w:sz w:val="15"/>
              </w:rPr>
              <w:t>Característica da formulação</w:t>
            </w:r>
          </w:p>
        </w:tc>
      </w:tr>
    </w:tbl>
    <w:p w14:paraId="6F3FC73F" w14:textId="77777777" w:rsidR="006F1F01" w:rsidRPr="006B2AFF" w:rsidRDefault="000654D0">
      <w:pPr>
        <w:spacing w:after="0" w:line="247" w:lineRule="auto"/>
        <w:jc w:val="both"/>
        <w:rPr>
          <w:rFonts w:hint="eastAsia"/>
          <w:lang w:val="pt-BR"/>
        </w:rPr>
      </w:pPr>
      <w:r w:rsidRPr="006B2AFF">
        <w:rPr>
          <w:color w:val="31383A"/>
          <w:lang w:val="pt-BR"/>
        </w:rPr>
        <w:t>Os valores representam faixas típicas para controle técnico. Pequenas variações podem ocorrer entre lotes sem comprometer a funcionalidade do produto.</w:t>
      </w:r>
    </w:p>
    <w:p w14:paraId="7CCBB50B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lastRenderedPageBreak/>
        <w:t>DOSAGEM RECOMENDADA</w:t>
      </w:r>
    </w:p>
    <w:tbl>
      <w:tblPr>
        <w:tblW w:w="10432" w:type="dxa"/>
        <w:jc w:val="center"/>
        <w:tblBorders>
          <w:top w:val="single" w:sz="6" w:space="0" w:color="B7D6D2"/>
          <w:left w:val="single" w:sz="6" w:space="0" w:color="B7D6D2"/>
          <w:bottom w:val="single" w:sz="6" w:space="0" w:color="B7D6D2"/>
          <w:right w:val="single" w:sz="6" w:space="0" w:color="B7D6D2"/>
          <w:insideH w:val="single" w:sz="6" w:space="0" w:color="B7D6D2"/>
          <w:insideV w:val="single" w:sz="6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3477"/>
        <w:gridCol w:w="3477"/>
      </w:tblGrid>
      <w:tr w:rsidR="006F1F01" w14:paraId="3439C3E2" w14:textId="77777777">
        <w:trPr>
          <w:cantSplit/>
          <w:tblHeader/>
          <w:jc w:val="center"/>
        </w:trPr>
        <w:tc>
          <w:tcPr>
            <w:tcW w:w="3532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ED5C43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Condição de uso</w:t>
            </w:r>
          </w:p>
        </w:tc>
        <w:tc>
          <w:tcPr>
            <w:tcW w:w="3532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93429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Dosagem orientativa</w:t>
            </w:r>
          </w:p>
        </w:tc>
        <w:tc>
          <w:tcPr>
            <w:tcW w:w="3532" w:type="dxa"/>
            <w:shd w:val="clear" w:color="auto" w:fill="2F8F9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52B6C0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Equivalência prática</w:t>
            </w:r>
          </w:p>
        </w:tc>
      </w:tr>
      <w:tr w:rsidR="006F1F01" w:rsidRPr="00926B7F" w14:paraId="51E682F8" w14:textId="77777777">
        <w:trPr>
          <w:cantSplit/>
          <w:jc w:val="center"/>
        </w:trPr>
        <w:tc>
          <w:tcPr>
            <w:tcW w:w="3532" w:type="dxa"/>
            <w:shd w:val="clear" w:color="auto" w:fill="EAF4F2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271C90AA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color w:val="173F48"/>
                <w:sz w:val="17"/>
              </w:rPr>
              <w:t>Aplicações agrícolas em tanque</w:t>
            </w:r>
          </w:p>
        </w:tc>
        <w:tc>
          <w:tcPr>
            <w:tcW w:w="3532" w:type="dxa"/>
            <w:shd w:val="clear" w:color="auto" w:fill="EAF4F2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DE6A240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173F48"/>
                <w:sz w:val="17"/>
              </w:rPr>
              <w:t>0,25 a 0,75% (v/v)</w:t>
            </w:r>
          </w:p>
        </w:tc>
        <w:tc>
          <w:tcPr>
            <w:tcW w:w="3532" w:type="dxa"/>
            <w:shd w:val="clear" w:color="auto" w:fill="EAF4F2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3EB3894" w14:textId="77777777" w:rsidR="006F1F01" w:rsidRPr="006B2AFF" w:rsidRDefault="000654D0">
            <w:pPr>
              <w:jc w:val="center"/>
              <w:rPr>
                <w:rFonts w:hint="eastAsia"/>
                <w:lang w:val="pt-BR"/>
              </w:rPr>
            </w:pPr>
            <w:r w:rsidRPr="006B2AFF">
              <w:rPr>
                <w:color w:val="173F48"/>
                <w:sz w:val="17"/>
                <w:lang w:val="pt-BR"/>
              </w:rPr>
              <w:t>250 a 750 mL por 100 L de calda</w:t>
            </w:r>
          </w:p>
        </w:tc>
      </w:tr>
    </w:tbl>
    <w:p w14:paraId="133B51F1" w14:textId="77777777" w:rsidR="006F1F01" w:rsidRPr="006B2AFF" w:rsidRDefault="000654D0">
      <w:pPr>
        <w:spacing w:after="60" w:line="247" w:lineRule="auto"/>
        <w:jc w:val="both"/>
        <w:rPr>
          <w:rFonts w:hint="eastAsia"/>
          <w:lang w:val="pt-BR"/>
        </w:rPr>
      </w:pPr>
      <w:r w:rsidRPr="006B2AFF">
        <w:rPr>
          <w:color w:val="31383A"/>
          <w:lang w:val="pt-BR"/>
        </w:rPr>
        <w:t>Dose padrão de referência: 0,50% (v/v), equivalente a 500 mL para cada 100 L de calda. A dose deve ser ajustada conforme cultura, produto associado, qualidade da água, volume de aplicação, equipamento e recomendação do responsável técnico.</w:t>
      </w:r>
    </w:p>
    <w:p w14:paraId="65C348F7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t>PREPARO DA CALDA - SEQUÊNCIA RECOMENDADA</w:t>
      </w:r>
    </w:p>
    <w:tbl>
      <w:tblPr>
        <w:tblW w:w="10432" w:type="dxa"/>
        <w:jc w:val="center"/>
        <w:tblBorders>
          <w:top w:val="single" w:sz="4" w:space="0" w:color="B7D6D2"/>
          <w:left w:val="single" w:sz="4" w:space="0" w:color="B7D6D2"/>
          <w:bottom w:val="single" w:sz="4" w:space="0" w:color="B7D6D2"/>
          <w:right w:val="single" w:sz="4" w:space="0" w:color="B7D6D2"/>
          <w:insideH w:val="single" w:sz="4" w:space="0" w:color="B7D6D2"/>
          <w:insideV w:val="single" w:sz="4" w:space="0" w:color="B7D6D2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5217"/>
      </w:tblGrid>
      <w:tr w:rsidR="006F1F01" w:rsidRPr="00926B7F" w14:paraId="30BDA758" w14:textId="77777777">
        <w:trPr>
          <w:cantSplit/>
          <w:jc w:val="center"/>
        </w:trPr>
        <w:tc>
          <w:tcPr>
            <w:tcW w:w="5298" w:type="dxa"/>
            <w:shd w:val="clear" w:color="auto" w:fill="2B8A68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FD31156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w="5298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4CCF68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color w:val="31383A"/>
                <w:sz w:val="16"/>
                <w:lang w:val="pt-BR"/>
              </w:rPr>
              <w:t>Encher o tanque com 50 a 70% do volume de água previsto e iniciar a agitação.</w:t>
            </w:r>
          </w:p>
        </w:tc>
      </w:tr>
      <w:tr w:rsidR="006F1F01" w:rsidRPr="00926B7F" w14:paraId="3DC25D7B" w14:textId="77777777">
        <w:trPr>
          <w:cantSplit/>
          <w:jc w:val="center"/>
        </w:trPr>
        <w:tc>
          <w:tcPr>
            <w:tcW w:w="5298" w:type="dxa"/>
            <w:shd w:val="clear" w:color="auto" w:fill="2B8A68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6C99748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w="5298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DADD4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color w:val="31383A"/>
                <w:sz w:val="16"/>
                <w:lang w:val="pt-BR"/>
              </w:rPr>
              <w:t>Adicionar os produtos da mistura conforme a ordem indicada em seus rótulos, bulas e recomendações técnicas.</w:t>
            </w:r>
          </w:p>
        </w:tc>
      </w:tr>
      <w:tr w:rsidR="006F1F01" w:rsidRPr="00926B7F" w14:paraId="7D2F6380" w14:textId="77777777">
        <w:trPr>
          <w:cantSplit/>
          <w:jc w:val="center"/>
        </w:trPr>
        <w:tc>
          <w:tcPr>
            <w:tcW w:w="5298" w:type="dxa"/>
            <w:shd w:val="clear" w:color="auto" w:fill="2B8A68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4890BC0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w="5298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94BD4E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color w:val="31383A"/>
                <w:sz w:val="16"/>
                <w:lang w:val="pt-BR"/>
              </w:rPr>
              <w:t xml:space="preserve">Adicionar o </w:t>
            </w:r>
            <w:proofErr w:type="spellStart"/>
            <w:r w:rsidRPr="006B2AFF">
              <w:rPr>
                <w:color w:val="31383A"/>
                <w:sz w:val="16"/>
                <w:lang w:val="pt-BR"/>
              </w:rPr>
              <w:t>AditGreen</w:t>
            </w:r>
            <w:proofErr w:type="spellEnd"/>
            <w:r w:rsidRPr="006B2AFF">
              <w:rPr>
                <w:color w:val="31383A"/>
                <w:sz w:val="16"/>
                <w:lang w:val="pt-BR"/>
              </w:rPr>
              <w:t>® lentamente, mantendo a recirculação ou agitação contínua.</w:t>
            </w:r>
          </w:p>
        </w:tc>
      </w:tr>
      <w:tr w:rsidR="006F1F01" w:rsidRPr="00926B7F" w14:paraId="41745622" w14:textId="77777777">
        <w:trPr>
          <w:cantSplit/>
          <w:jc w:val="center"/>
        </w:trPr>
        <w:tc>
          <w:tcPr>
            <w:tcW w:w="5298" w:type="dxa"/>
            <w:shd w:val="clear" w:color="auto" w:fill="2B8A68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E09239B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4</w:t>
            </w:r>
          </w:p>
        </w:tc>
        <w:tc>
          <w:tcPr>
            <w:tcW w:w="5298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A7BFC2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color w:val="31383A"/>
                <w:sz w:val="16"/>
                <w:lang w:val="pt-BR"/>
              </w:rPr>
              <w:t>Completar o volume com água e manter a calda homogênea até o término da aplicação.</w:t>
            </w:r>
          </w:p>
        </w:tc>
      </w:tr>
      <w:tr w:rsidR="006F1F01" w:rsidRPr="00926B7F" w14:paraId="534D92A2" w14:textId="77777777">
        <w:trPr>
          <w:cantSplit/>
          <w:jc w:val="center"/>
        </w:trPr>
        <w:tc>
          <w:tcPr>
            <w:tcW w:w="5298" w:type="dxa"/>
            <w:shd w:val="clear" w:color="auto" w:fill="2B8A68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7193C55" w14:textId="77777777" w:rsidR="006F1F01" w:rsidRDefault="000654D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2"/>
              </w:rPr>
              <w:t>5</w:t>
            </w:r>
          </w:p>
        </w:tc>
        <w:tc>
          <w:tcPr>
            <w:tcW w:w="5298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2C4486" w14:textId="77777777" w:rsidR="006F1F01" w:rsidRPr="006B2AFF" w:rsidRDefault="000654D0">
            <w:pPr>
              <w:rPr>
                <w:rFonts w:hint="eastAsia"/>
                <w:lang w:val="pt-BR"/>
              </w:rPr>
            </w:pPr>
            <w:r w:rsidRPr="006B2AFF">
              <w:rPr>
                <w:color w:val="31383A"/>
                <w:sz w:val="16"/>
                <w:lang w:val="pt-BR"/>
              </w:rPr>
              <w:t>Após o uso, realizar a limpeza do tanque, linhas, filtros e bicos conforme o procedimento do equipamento.</w:t>
            </w:r>
          </w:p>
        </w:tc>
      </w:tr>
    </w:tbl>
    <w:p w14:paraId="61FF3567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t>COMPATIBILIDADE E TESTE DE JARRA</w:t>
      </w:r>
    </w:p>
    <w:p w14:paraId="16B0A77B" w14:textId="77777777" w:rsidR="006F1F01" w:rsidRPr="006B2AFF" w:rsidRDefault="000654D0">
      <w:pPr>
        <w:spacing w:after="40" w:line="240" w:lineRule="auto"/>
        <w:jc w:val="both"/>
        <w:rPr>
          <w:rFonts w:hint="eastAsia"/>
          <w:lang w:val="pt-BR"/>
        </w:rPr>
      </w:pPr>
      <w:proofErr w:type="spellStart"/>
      <w:r w:rsidRPr="00926B7F">
        <w:rPr>
          <w:color w:val="31383A"/>
          <w:lang w:val="pt-BR"/>
        </w:rPr>
        <w:t>AditGreen</w:t>
      </w:r>
      <w:proofErr w:type="spellEnd"/>
      <w:r w:rsidRPr="00926B7F">
        <w:rPr>
          <w:color w:val="31383A"/>
          <w:lang w:val="pt-BR"/>
        </w:rPr>
        <w:t>® auxilia a compatibilidade física e a homogeneidade de misturas agrícolas usuais. Devido à diversidade de ingredientes ativos, sais, fertilizantes, produtos biológicos e qualidades de água, recomenda-se teste prévio de compatibilidade em pequena escala antes do preparo integral da calda.</w:t>
      </w:r>
    </w:p>
    <w:p w14:paraId="1215E537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Reproduzir no teste a mesma água, proporção e ordem de adição que serão utilizadas no tanque.</w:t>
      </w:r>
    </w:p>
    <w:p w14:paraId="6D07260D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Observar formação de grumos, precipitação, separação de fases, aumento excessivo de viscosidade ou espuma persistente.</w:t>
      </w:r>
    </w:p>
    <w:p w14:paraId="464BADF8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Não utilizar a mistura quando ocorrer incompatibilidade física ou quando houver restrição no rótulo ou bula do produto associado.</w:t>
      </w:r>
    </w:p>
    <w:p w14:paraId="605DD6A3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t>CONDIÇÕES DE APLICAÇÃO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6F1F01" w:rsidRPr="00926B7F" w14:paraId="448FF33C" w14:textId="77777777">
        <w:trPr>
          <w:cantSplit/>
          <w:jc w:val="center"/>
        </w:trPr>
        <w:tc>
          <w:tcPr>
            <w:tcW w:w="5216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B00195D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Aplicar com equipamento calibrado, garantindo cobertura uniforme e evitando escorrimento excessivo.</w:t>
            </w:r>
          </w:p>
        </w:tc>
        <w:tc>
          <w:tcPr>
            <w:tcW w:w="5216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DD9B8B6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Respeitar as condições meteorológicas e os limites de vento, umidade e temperatura definidos para os produtos associados.</w:t>
            </w:r>
          </w:p>
        </w:tc>
      </w:tr>
      <w:tr w:rsidR="006F1F01" w:rsidRPr="00926B7F" w14:paraId="31DBBE9D" w14:textId="77777777">
        <w:trPr>
          <w:cantSplit/>
          <w:jc w:val="center"/>
        </w:trPr>
        <w:tc>
          <w:tcPr>
            <w:tcW w:w="5216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732BD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Evitar aplicação sob risco imediato de chuva, salvo quando a recomendação agronômica indicar condição diferente.</w:t>
            </w:r>
          </w:p>
        </w:tc>
        <w:tc>
          <w:tcPr>
            <w:tcW w:w="5216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A650E2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Não exceder as doses recomendadas sem avaliação técnica prévia.</w:t>
            </w:r>
          </w:p>
        </w:tc>
      </w:tr>
      <w:tr w:rsidR="00AD75CC" w:rsidRPr="00926B7F" w14:paraId="1B870571" w14:textId="77777777">
        <w:trPr>
          <w:cantSplit/>
          <w:jc w:val="center"/>
        </w:trPr>
        <w:tc>
          <w:tcPr>
            <w:tcW w:w="5216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62C5078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Manter agitação ou recirculação suficiente para preservar a homogeneidade da calda durante toda a operação.</w:t>
            </w:r>
          </w:p>
        </w:tc>
        <w:tc>
          <w:tcPr>
            <w:tcW w:w="5216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D17F7B6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● Preparar somente o volume necessário e evitar o armazenamento da calda pronta.</w:t>
            </w:r>
          </w:p>
        </w:tc>
      </w:tr>
    </w:tbl>
    <w:p w14:paraId="25E89180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>
        <w:rPr>
          <w:rFonts w:ascii="Aptos Display" w:hAnsi="Aptos Display"/>
          <w:b/>
          <w:color w:val="2F8F98"/>
          <w:sz w:val="26"/>
          <w:lang w:val="pt-BR"/>
        </w:rPr>
        <w:lastRenderedPageBreak/>
        <w:t>EQUIPAMENTOS E PARÂMETROS DE APLICAÇÃO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2722"/>
        <w:gridCol w:w="4649"/>
        <w:gridCol w:w="3061"/>
      </w:tblGrid>
      <w:tr w:rsidR="00AD75CC" w14:paraId="51467483" w14:textId="77777777">
        <w:trPr>
          <w:cantSplit/>
          <w:tblHeader/>
          <w:jc w:val="center"/>
        </w:trPr>
        <w:tc>
          <w:tcPr>
            <w:tcW w:w="2721" w:type="dxa"/>
            <w:shd w:val="clear" w:color="auto" w:fill="184A52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6229FFC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Equipamento / sistema</w:t>
            </w:r>
          </w:p>
        </w:tc>
        <w:tc>
          <w:tcPr>
            <w:tcW w:w="4649" w:type="dxa"/>
            <w:shd w:val="clear" w:color="auto" w:fill="184A52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9606122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Orientação de uso</w:t>
            </w:r>
          </w:p>
        </w:tc>
        <w:tc>
          <w:tcPr>
            <w:tcW w:w="3061" w:type="dxa"/>
            <w:shd w:val="clear" w:color="auto" w:fill="184A52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7B4657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Observações</w:t>
            </w:r>
          </w:p>
        </w:tc>
      </w:tr>
      <w:tr w:rsidR="00AD75CC" w:rsidRPr="00926B7F" w14:paraId="7ACB6374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F09790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r>
              <w:rPr>
                <w:color w:val="31383A"/>
                <w:sz w:val="15"/>
              </w:rPr>
              <w:t>Pulverizador terrestre ou autopropelido</w:t>
            </w:r>
          </w:p>
        </w:tc>
        <w:tc>
          <w:tcPr>
            <w:tcW w:w="4649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F33E37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Utilizar tanque limpo, agitação ativa e bicos compatíveis com a aplicação.</w:t>
            </w:r>
          </w:p>
        </w:tc>
        <w:tc>
          <w:tcPr>
            <w:tcW w:w="3061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A681B8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Calibrar vazão, pressão, velocidade e volume de calda.</w:t>
            </w:r>
          </w:p>
        </w:tc>
      </w:tr>
      <w:tr w:rsidR="00AD75CC" w:rsidRPr="00926B7F" w14:paraId="64FF1A48" w14:textId="77777777">
        <w:trPr>
          <w:cantSplit/>
          <w:jc w:val="center"/>
        </w:trPr>
        <w:tc>
          <w:tcPr>
            <w:tcW w:w="2721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B363C2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color w:val="31383A"/>
                <w:sz w:val="15"/>
              </w:rPr>
              <w:t>Pulverizador</w:t>
            </w:r>
            <w:proofErr w:type="spellEnd"/>
            <w:r>
              <w:rPr>
                <w:color w:val="31383A"/>
                <w:sz w:val="15"/>
              </w:rPr>
              <w:t xml:space="preserve"> costal </w:t>
            </w:r>
            <w:proofErr w:type="spellStart"/>
            <w:r>
              <w:rPr>
                <w:color w:val="31383A"/>
                <w:sz w:val="15"/>
              </w:rPr>
              <w:t>ou</w:t>
            </w:r>
            <w:proofErr w:type="spellEnd"/>
            <w:r>
              <w:rPr>
                <w:color w:val="31383A"/>
                <w:sz w:val="15"/>
              </w:rPr>
              <w:t xml:space="preserve"> manual</w:t>
            </w:r>
          </w:p>
        </w:tc>
        <w:tc>
          <w:tcPr>
            <w:tcW w:w="4649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06E4D0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Promover cobertura uniforme, evitando concentração localizada e escorrimento.</w:t>
            </w:r>
          </w:p>
        </w:tc>
        <w:tc>
          <w:tcPr>
            <w:tcW w:w="3061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B84E98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Manter homogeneidade da calda durante o uso.</w:t>
            </w:r>
          </w:p>
        </w:tc>
      </w:tr>
      <w:tr w:rsidR="00AD75CC" w:rsidRPr="00926B7F" w14:paraId="33315E73" w14:textId="77777777">
        <w:trPr>
          <w:cantSplit/>
          <w:jc w:val="center"/>
        </w:trPr>
        <w:tc>
          <w:tcPr>
            <w:tcW w:w="2721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A03850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Aplicação aérea ou por drone</w:t>
            </w:r>
          </w:p>
        </w:tc>
        <w:tc>
          <w:tcPr>
            <w:tcW w:w="4649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9D2E15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Seguir rótulo, bula, legislação aplicável e orientação do responsável técnico.</w:t>
            </w:r>
          </w:p>
        </w:tc>
        <w:tc>
          <w:tcPr>
            <w:tcW w:w="3061" w:type="dxa"/>
            <w:shd w:val="clear" w:color="auto" w:fill="FFFFFF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FD8703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Avaliar volume de calda, espectro de gotas, vento e distância do alvo.</w:t>
            </w:r>
          </w:p>
        </w:tc>
      </w:tr>
      <w:tr w:rsidR="00AD75CC" w:rsidRPr="00926B7F" w14:paraId="3FEB395B" w14:textId="77777777">
        <w:trPr>
          <w:cantSplit/>
          <w:jc w:val="center"/>
        </w:trPr>
        <w:tc>
          <w:tcPr>
            <w:tcW w:w="2721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0142E3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Tanque, linhas, filtros e bicos</w:t>
            </w:r>
          </w:p>
        </w:tc>
        <w:tc>
          <w:tcPr>
            <w:tcW w:w="4649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6FC187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Realizar limpeza após o término da operação, conforme procedimento do equipamento.</w:t>
            </w:r>
          </w:p>
        </w:tc>
        <w:tc>
          <w:tcPr>
            <w:tcW w:w="3061" w:type="dxa"/>
            <w:shd w:val="clear" w:color="auto" w:fill="F5F8F7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60215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Evitar resíduos e contaminação cruzada entre aplicações.</w:t>
            </w:r>
          </w:p>
        </w:tc>
      </w:tr>
    </w:tbl>
    <w:p w14:paraId="3E04277C" w14:textId="77777777" w:rsidR="006F1F01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t>ARMAZENAMENTO, EMBALAGEM E VALIDADE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7711"/>
      </w:tblGrid>
      <w:tr w:rsidR="00AD75CC" w:rsidRPr="00926B7F" w14:paraId="716058E8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6B8834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Armazenamento</w:t>
            </w:r>
          </w:p>
        </w:tc>
        <w:tc>
          <w:tcPr>
            <w:tcW w:w="7711" w:type="dxa"/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5509A8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Manter em local coberto, seco, ventilado e protegido da luz solar direta e de temperaturas extremas.</w:t>
            </w:r>
          </w:p>
        </w:tc>
      </w:tr>
      <w:tr w:rsidR="00AD75CC" w:rsidRPr="00926B7F" w14:paraId="7149BBFF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3FA542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Conservação</w:t>
            </w:r>
            <w:proofErr w:type="spellEnd"/>
          </w:p>
        </w:tc>
        <w:tc>
          <w:tcPr>
            <w:tcW w:w="7711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B39AE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Manter a embalagem original fechada. Homogeneizar antes do uso quando houver repouso prolongado.</w:t>
            </w:r>
          </w:p>
        </w:tc>
      </w:tr>
      <w:tr w:rsidR="00AD75CC" w:rsidRPr="00926B7F" w14:paraId="11DF360C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BE150E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Após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abertura</w:t>
            </w:r>
            <w:proofErr w:type="spellEnd"/>
          </w:p>
        </w:tc>
        <w:tc>
          <w:tcPr>
            <w:tcW w:w="7711" w:type="dxa"/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3A97D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Fechar a embalagem imediatamente após o uso e evitar contaminação por água, solo ou outros produtos.</w:t>
            </w:r>
          </w:p>
        </w:tc>
      </w:tr>
      <w:tr w:rsidR="00AD75CC" w:rsidRPr="00926B7F" w14:paraId="2E040128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292D6C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Validade</w:t>
            </w:r>
            <w:proofErr w:type="spellEnd"/>
          </w:p>
        </w:tc>
        <w:tc>
          <w:tcPr>
            <w:tcW w:w="7711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C05184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24 meses a partir da data de fabricação, nas condições recomendadas e em embalagem original lacrada.</w:t>
            </w:r>
          </w:p>
        </w:tc>
      </w:tr>
      <w:tr w:rsidR="00AD75CC" w:rsidRPr="00926B7F" w14:paraId="44E018A9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AD2AF4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Apresentações</w:t>
            </w:r>
            <w:proofErr w:type="spellEnd"/>
          </w:p>
        </w:tc>
        <w:tc>
          <w:tcPr>
            <w:tcW w:w="7711" w:type="dxa"/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55C12A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1 L, 5 L, 20 L, 50 L, 200 L e contêiner IBC de 1.000 L.</w:t>
            </w:r>
          </w:p>
        </w:tc>
      </w:tr>
      <w:tr w:rsidR="00AD75CC" w:rsidRPr="00926B7F" w14:paraId="68F3CDF5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EF245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Transporte</w:t>
            </w:r>
            <w:proofErr w:type="spellEnd"/>
          </w:p>
        </w:tc>
        <w:tc>
          <w:tcPr>
            <w:tcW w:w="7711" w:type="dxa"/>
            <w:shd w:val="clear" w:color="auto" w:fill="F5F8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4129F8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Transportar com as embalagens fechadas, na posição vertical e protegidas contra perfuração, queda e aquecimento excessivo.</w:t>
            </w:r>
          </w:p>
        </w:tc>
      </w:tr>
      <w:tr w:rsidR="00AD75CC" w:rsidRPr="00926B7F" w14:paraId="7E97B758" w14:textId="77777777">
        <w:trPr>
          <w:cantSplit/>
          <w:jc w:val="center"/>
        </w:trPr>
        <w:tc>
          <w:tcPr>
            <w:tcW w:w="2721" w:type="dxa"/>
            <w:shd w:val="clear" w:color="auto" w:fill="2F8F98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31190D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Rastreabilidade</w:t>
            </w:r>
            <w:proofErr w:type="spellEnd"/>
          </w:p>
        </w:tc>
        <w:tc>
          <w:tcPr>
            <w:tcW w:w="7711" w:type="dxa"/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9AFAE3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Verificar identificação do lote, data de fabricação e integridade da embalagem antes do uso.</w:t>
            </w:r>
          </w:p>
        </w:tc>
      </w:tr>
    </w:tbl>
    <w:p w14:paraId="1D61A5DB" w14:textId="77777777" w:rsidR="006F1F01" w:rsidRDefault="000654D0">
      <w:pPr>
        <w:keepNext/>
        <w:pageBreakBefore/>
        <w:pBdr>
          <w:bottom w:val="single" w:sz="12" w:space="3" w:color="2B8A68"/>
        </w:pBdr>
        <w:spacing w:before="80" w:after="60"/>
        <w:outlineLvl w:val="0"/>
        <w:rPr>
          <w:rFonts w:hint="eastAsia"/>
        </w:rPr>
      </w:pPr>
      <w:r>
        <w:rPr>
          <w:rFonts w:ascii="Aptos Display" w:hAnsi="Aptos Display"/>
          <w:b/>
          <w:color w:val="2F8F98"/>
          <w:sz w:val="26"/>
        </w:rPr>
        <w:lastRenderedPageBreak/>
        <w:t>SEGURANÇA E BOAS PRÁTICAS</w:t>
      </w:r>
    </w:p>
    <w:p w14:paraId="462471D7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Produto destinado ao uso profissional. Utilizar equipamentos de proteção compatíveis com a operação e com os produtos presentes na calda.</w:t>
      </w:r>
    </w:p>
    <w:p w14:paraId="7F30102E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Evitar contato prolongado com a pele e os olhos. Não ingerir. Não reutilizar a embalagem para outras finalidades.</w:t>
      </w:r>
    </w:p>
    <w:p w14:paraId="71E9B50F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Em caso de derramamento, conter o produto, recolher o material e evitar lançamento direto em corpos d’água e sistemas de drenagem.</w:t>
      </w:r>
    </w:p>
    <w:p w14:paraId="2DD4067F" w14:textId="77777777" w:rsidR="006F1F01" w:rsidRPr="006B2AFF" w:rsidRDefault="000654D0">
      <w:pPr>
        <w:pStyle w:val="Commarcadores"/>
        <w:spacing w:after="30"/>
        <w:ind w:left="255" w:hanging="113"/>
        <w:jc w:val="both"/>
        <w:rPr>
          <w:rFonts w:hint="eastAsia"/>
          <w:lang w:val="pt-BR"/>
        </w:rPr>
      </w:pPr>
      <w:r w:rsidRPr="006B2AFF">
        <w:rPr>
          <w:color w:val="31383A"/>
          <w:sz w:val="17"/>
          <w:lang w:val="pt-BR"/>
        </w:rPr>
        <w:t>Consultar a Ficha com Dados de Segurança e observar as orientações dos rótulos e bulas dos produtos associados.</w:t>
      </w:r>
    </w:p>
    <w:p w14:paraId="3A0A0E54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t>SUSTENTABILIDADE E DIFERENCIAIS STS</w:t>
      </w:r>
    </w:p>
    <w:p w14:paraId="2ED47E57" w14:textId="77777777" w:rsidR="006F1F01" w:rsidRPr="006B2AFF" w:rsidRDefault="000654D0">
      <w:pPr>
        <w:spacing w:after="60" w:line="240" w:lineRule="auto"/>
        <w:jc w:val="both"/>
        <w:rPr>
          <w:rFonts w:hint="eastAsia"/>
          <w:lang w:val="pt-BR"/>
        </w:rPr>
      </w:pPr>
      <w:r w:rsidRPr="00926B7F">
        <w:rPr>
          <w:color w:val="31383A"/>
          <w:lang w:val="pt-BR"/>
        </w:rPr>
        <w:t xml:space="preserve">Tecnologia nacional, de desenvolvimento próprio em PD&amp;I, baseada na valorização de matéria-prima lignocelulósica. </w:t>
      </w:r>
      <w:proofErr w:type="spellStart"/>
      <w:r w:rsidRPr="00926B7F">
        <w:rPr>
          <w:color w:val="31383A"/>
          <w:lang w:val="pt-BR"/>
        </w:rPr>
        <w:t>AditGreen</w:t>
      </w:r>
      <w:proofErr w:type="spellEnd"/>
      <w:r w:rsidRPr="00926B7F">
        <w:rPr>
          <w:color w:val="31383A"/>
          <w:lang w:val="pt-BR"/>
        </w:rPr>
        <w:t>® reúne multifuncionalidade, eficiência de aplicação, biodegradabilidade e princípios de química verde e economia circular.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3477"/>
        <w:gridCol w:w="3477"/>
      </w:tblGrid>
      <w:tr w:rsidR="00AD75CC" w:rsidRPr="00926B7F" w14:paraId="198A9796" w14:textId="77777777">
        <w:trPr>
          <w:cantSplit/>
          <w:jc w:val="center"/>
        </w:trPr>
        <w:tc>
          <w:tcPr>
            <w:tcW w:w="3458" w:type="dxa"/>
            <w:shd w:val="clear" w:color="auto" w:fill="EAF4F3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28FF909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BASE BIOLÓGICA E BIODEGRADÁVEL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Formulação alinhada à agricultura de menor impacto ambiental.</w:t>
            </w:r>
          </w:p>
        </w:tc>
        <w:tc>
          <w:tcPr>
            <w:tcW w:w="3458" w:type="dxa"/>
            <w:shd w:val="clear" w:color="auto" w:fill="F5F8F7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6F59F705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ECONOMIA CIRCULAR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Valorização de correntes renováveis de origem lignocelulósica.</w:t>
            </w:r>
          </w:p>
        </w:tc>
        <w:tc>
          <w:tcPr>
            <w:tcW w:w="3458" w:type="dxa"/>
            <w:shd w:val="clear" w:color="auto" w:fill="EAF4F3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69666DAE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EFICIÊNCIA OPERACIONAL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Potencial redução do número de produtos auxiliares no preparo da calda.</w:t>
            </w:r>
          </w:p>
        </w:tc>
      </w:tr>
      <w:tr w:rsidR="00AD75CC" w:rsidRPr="00926B7F" w14:paraId="4582B687" w14:textId="77777777">
        <w:trPr>
          <w:cantSplit/>
          <w:jc w:val="center"/>
        </w:trPr>
        <w:tc>
          <w:tcPr>
            <w:tcW w:w="3458" w:type="dxa"/>
            <w:shd w:val="clear" w:color="auto" w:fill="F5F8F7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74E6142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PRÁTICAS ESG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Contribui para estratégias de inovação e responsabilidade socioambiental.</w:t>
            </w:r>
          </w:p>
        </w:tc>
        <w:tc>
          <w:tcPr>
            <w:tcW w:w="3458" w:type="dxa"/>
            <w:shd w:val="clear" w:color="auto" w:fill="EAF4F3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399F307F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QUÍMICA VERDE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Desenvolvimento orientado ao uso eficiente de recursos e insumos.</w:t>
            </w:r>
          </w:p>
        </w:tc>
        <w:tc>
          <w:tcPr>
            <w:tcW w:w="3458" w:type="dxa"/>
            <w:shd w:val="clear" w:color="auto" w:fill="F5F8F7"/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2B14516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2F8F98"/>
                <w:sz w:val="15"/>
                <w:lang w:val="pt-BR"/>
              </w:rPr>
              <w:t>ALINHAMENTO AOS ODS</w:t>
            </w:r>
            <w:r w:rsidRPr="00926B7F">
              <w:rPr>
                <w:b/>
                <w:color w:val="2F8F98"/>
                <w:sz w:val="15"/>
                <w:lang w:val="pt-BR"/>
              </w:rPr>
              <w:br/>
            </w:r>
            <w:r w:rsidRPr="00926B7F">
              <w:rPr>
                <w:color w:val="31383A"/>
                <w:sz w:val="15"/>
                <w:lang w:val="pt-BR"/>
              </w:rPr>
              <w:t>Solução relacionada a inovação, produção responsável e sustentabilidade.</w:t>
            </w:r>
          </w:p>
        </w:tc>
      </w:tr>
    </w:tbl>
    <w:p w14:paraId="42A12D0A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>
        <w:rPr>
          <w:rFonts w:ascii="Aptos Display" w:hAnsi="Aptos Display"/>
          <w:b/>
          <w:color w:val="2F8F98"/>
          <w:sz w:val="26"/>
          <w:lang w:val="pt-BR"/>
        </w:rPr>
        <w:t>DESEMPENHO FUNCIONAL E RESULTADOS ESPERADOS</w:t>
      </w:r>
    </w:p>
    <w:p w14:paraId="3C49A3DD" w14:textId="77777777" w:rsidR="006F1F01" w:rsidRPr="006B2AFF" w:rsidRDefault="000654D0">
      <w:pPr>
        <w:spacing w:after="0" w:line="247" w:lineRule="auto"/>
        <w:jc w:val="both"/>
        <w:rPr>
          <w:rFonts w:hint="eastAsia"/>
          <w:lang w:val="pt-BR"/>
        </w:rPr>
      </w:pPr>
      <w:r>
        <w:rPr>
          <w:color w:val="31383A"/>
          <w:lang w:val="pt-BR"/>
        </w:rPr>
        <w:t>As contribuições abaixo descrevem as funções técnicas do produto nas condições recomendadas de uso. O desempenho final depende da cultura, do produto associado, da qualidade da água, do equipamento e das condições ambientais.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257"/>
      </w:tblGrid>
      <w:tr w:rsidR="00AD75CC" w14:paraId="59A62893" w14:textId="77777777">
        <w:trPr>
          <w:cantSplit/>
          <w:tblHeader/>
          <w:jc w:val="center"/>
        </w:trPr>
        <w:tc>
          <w:tcPr>
            <w:tcW w:w="3175" w:type="dxa"/>
            <w:shd w:val="clear" w:color="auto" w:fill="184A52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02016D8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Indicador funcional</w:t>
            </w:r>
          </w:p>
        </w:tc>
        <w:tc>
          <w:tcPr>
            <w:tcW w:w="7257" w:type="dxa"/>
            <w:shd w:val="clear" w:color="auto" w:fill="184A52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A195A33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Contribuição técnica</w:t>
            </w:r>
          </w:p>
        </w:tc>
      </w:tr>
      <w:tr w:rsidR="00AD75CC" w:rsidRPr="00926B7F" w14:paraId="5AAF0859" w14:textId="77777777">
        <w:trPr>
          <w:cantSplit/>
          <w:jc w:val="center"/>
        </w:trPr>
        <w:tc>
          <w:tcPr>
            <w:tcW w:w="3175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66F6545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31383A"/>
                <w:sz w:val="16"/>
                <w:lang w:val="pt-BR"/>
              </w:rPr>
              <w:t>Formação e deposição de gotas</w:t>
            </w:r>
          </w:p>
        </w:tc>
        <w:tc>
          <w:tcPr>
            <w:tcW w:w="7257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A8CE80E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Favorece maior uniformidade do espectro de aplicação e a deposição da calda sobre o alvo.</w:t>
            </w:r>
          </w:p>
        </w:tc>
      </w:tr>
      <w:tr w:rsidR="00AD75CC" w:rsidRPr="00926B7F" w14:paraId="7CC2115C" w14:textId="77777777">
        <w:trPr>
          <w:cantSplit/>
          <w:jc w:val="center"/>
        </w:trPr>
        <w:tc>
          <w:tcPr>
            <w:tcW w:w="3175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7E01F11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31383A"/>
                <w:sz w:val="16"/>
              </w:rPr>
              <w:t>Molhamento</w:t>
            </w:r>
            <w:proofErr w:type="spellEnd"/>
            <w:r>
              <w:rPr>
                <w:b/>
                <w:color w:val="31383A"/>
                <w:sz w:val="16"/>
              </w:rPr>
              <w:t xml:space="preserve"> e </w:t>
            </w:r>
            <w:proofErr w:type="spellStart"/>
            <w:r>
              <w:rPr>
                <w:b/>
                <w:color w:val="31383A"/>
                <w:sz w:val="16"/>
              </w:rPr>
              <w:t>espalhamento</w:t>
            </w:r>
            <w:proofErr w:type="spellEnd"/>
          </w:p>
        </w:tc>
        <w:tc>
          <w:tcPr>
            <w:tcW w:w="7257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C1495C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Auxilia a ampliação da área coberta e a distribuição uniforme da solução na superfície tratada.</w:t>
            </w:r>
          </w:p>
        </w:tc>
      </w:tr>
      <w:tr w:rsidR="00AD75CC" w:rsidRPr="00926B7F" w14:paraId="583AB121" w14:textId="77777777">
        <w:trPr>
          <w:cantSplit/>
          <w:jc w:val="center"/>
        </w:trPr>
        <w:tc>
          <w:tcPr>
            <w:tcW w:w="3175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C20E71D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31383A"/>
                <w:sz w:val="16"/>
              </w:rPr>
              <w:t>Aderência</w:t>
            </w:r>
            <w:proofErr w:type="spellEnd"/>
            <w:r>
              <w:rPr>
                <w:b/>
                <w:color w:val="31383A"/>
                <w:sz w:val="16"/>
              </w:rPr>
              <w:t xml:space="preserve"> e </w:t>
            </w:r>
            <w:proofErr w:type="spellStart"/>
            <w:r>
              <w:rPr>
                <w:b/>
                <w:color w:val="31383A"/>
                <w:sz w:val="16"/>
              </w:rPr>
              <w:t>permanência</w:t>
            </w:r>
            <w:proofErr w:type="spellEnd"/>
          </w:p>
        </w:tc>
        <w:tc>
          <w:tcPr>
            <w:tcW w:w="7257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54F249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Contribui para a retenção das gotas e para a redução de perdas por ricochete ou escorrimento.</w:t>
            </w:r>
          </w:p>
        </w:tc>
      </w:tr>
      <w:tr w:rsidR="00AD75CC" w:rsidRPr="00926B7F" w14:paraId="730DAD7E" w14:textId="77777777">
        <w:trPr>
          <w:cantSplit/>
          <w:jc w:val="center"/>
        </w:trPr>
        <w:tc>
          <w:tcPr>
            <w:tcW w:w="3175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EAA32C0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31383A"/>
                <w:sz w:val="16"/>
              </w:rPr>
              <w:t>Dispersão</w:t>
            </w:r>
            <w:proofErr w:type="spellEnd"/>
            <w:r>
              <w:rPr>
                <w:b/>
                <w:color w:val="31383A"/>
                <w:sz w:val="16"/>
              </w:rPr>
              <w:t xml:space="preserve"> e </w:t>
            </w:r>
            <w:proofErr w:type="spellStart"/>
            <w:r>
              <w:rPr>
                <w:b/>
                <w:color w:val="31383A"/>
                <w:sz w:val="16"/>
              </w:rPr>
              <w:t>homogeneidade</w:t>
            </w:r>
            <w:proofErr w:type="spellEnd"/>
          </w:p>
        </w:tc>
        <w:tc>
          <w:tcPr>
            <w:tcW w:w="7257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269E1F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Auxilia a distribuição dos componentes e a estabilidade física da mistura durante a aplicação.</w:t>
            </w:r>
          </w:p>
        </w:tc>
      </w:tr>
      <w:tr w:rsidR="00AD75CC" w:rsidRPr="00926B7F" w14:paraId="7964CEB6" w14:textId="77777777">
        <w:trPr>
          <w:cantSplit/>
          <w:jc w:val="center"/>
        </w:trPr>
        <w:tc>
          <w:tcPr>
            <w:tcW w:w="3175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EC5BDE5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31383A"/>
                <w:sz w:val="16"/>
              </w:rPr>
              <w:t>Eficiência</w:t>
            </w:r>
            <w:proofErr w:type="spellEnd"/>
            <w:r>
              <w:rPr>
                <w:b/>
                <w:color w:val="31383A"/>
                <w:sz w:val="16"/>
              </w:rPr>
              <w:t xml:space="preserve"> </w:t>
            </w:r>
            <w:proofErr w:type="spellStart"/>
            <w:r>
              <w:rPr>
                <w:b/>
                <w:color w:val="31383A"/>
                <w:sz w:val="16"/>
              </w:rPr>
              <w:t>operacional</w:t>
            </w:r>
            <w:proofErr w:type="spellEnd"/>
          </w:p>
        </w:tc>
        <w:tc>
          <w:tcPr>
            <w:tcW w:w="7257" w:type="dxa"/>
            <w:shd w:val="clear" w:color="auto" w:fill="EAF4F3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312F599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Reúne diferentes funções agronômicas em uma única formulação, simplificando o preparo da calda.</w:t>
            </w:r>
          </w:p>
        </w:tc>
      </w:tr>
    </w:tbl>
    <w:p w14:paraId="2B5B1E0B" w14:textId="77777777" w:rsidR="006F1F01" w:rsidRPr="006B2AFF" w:rsidRDefault="000654D0">
      <w:pPr>
        <w:keepNext/>
        <w:pageBreakBefore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>
        <w:rPr>
          <w:rFonts w:ascii="Aptos Display" w:hAnsi="Aptos Display"/>
          <w:b/>
          <w:color w:val="2F8F98"/>
          <w:sz w:val="26"/>
          <w:lang w:val="pt-BR"/>
        </w:rPr>
        <w:lastRenderedPageBreak/>
        <w:t>DOCUMENTOS COMPLEMENTARES E SUPORTE TÉCNICO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30"/>
      </w:tblGrid>
      <w:tr w:rsidR="00AD75CC" w:rsidRPr="00926B7F" w14:paraId="3512E1A6" w14:textId="77777777">
        <w:trPr>
          <w:cantSplit/>
          <w:jc w:val="center"/>
        </w:trPr>
        <w:tc>
          <w:tcPr>
            <w:tcW w:w="3402" w:type="dxa"/>
            <w:shd w:val="clear" w:color="auto" w:fill="2F8F98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9C64A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b/>
                <w:color w:val="FFFFFF"/>
                <w:sz w:val="16"/>
                <w:lang w:val="pt-BR"/>
              </w:rPr>
              <w:t>Ficha com Dados de Segurança - FDS</w:t>
            </w:r>
          </w:p>
        </w:tc>
        <w:tc>
          <w:tcPr>
            <w:tcW w:w="7030" w:type="dxa"/>
            <w:shd w:val="clear" w:color="auto" w:fill="FFFFFF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7CD967C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Consultar a versão vigente antes do manuseio e da aplicação.</w:t>
            </w:r>
          </w:p>
        </w:tc>
      </w:tr>
      <w:tr w:rsidR="00AD75CC" w:rsidRPr="00926B7F" w14:paraId="1CFF359F" w14:textId="77777777">
        <w:trPr>
          <w:cantSplit/>
          <w:jc w:val="center"/>
        </w:trPr>
        <w:tc>
          <w:tcPr>
            <w:tcW w:w="3402" w:type="dxa"/>
            <w:shd w:val="clear" w:color="auto" w:fill="2F8F98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0676589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Certificado</w:t>
            </w:r>
            <w:proofErr w:type="spellEnd"/>
            <w:r>
              <w:rPr>
                <w:b/>
                <w:color w:val="FFFFFF"/>
                <w:sz w:val="16"/>
              </w:rPr>
              <w:t xml:space="preserve"> de </w:t>
            </w:r>
            <w:proofErr w:type="spellStart"/>
            <w:r>
              <w:rPr>
                <w:b/>
                <w:color w:val="FFFFFF"/>
                <w:sz w:val="16"/>
              </w:rPr>
              <w:t>Análise</w:t>
            </w:r>
            <w:proofErr w:type="spellEnd"/>
            <w:r>
              <w:rPr>
                <w:b/>
                <w:color w:val="FFFFFF"/>
                <w:sz w:val="16"/>
              </w:rPr>
              <w:t xml:space="preserve"> - CoA</w:t>
            </w:r>
          </w:p>
        </w:tc>
        <w:tc>
          <w:tcPr>
            <w:tcW w:w="7030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9AF1682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Consultar disponibilidade e critérios de fornecimento por lote.</w:t>
            </w:r>
          </w:p>
        </w:tc>
      </w:tr>
      <w:tr w:rsidR="00AD75CC" w:rsidRPr="00926B7F" w14:paraId="12EB033F" w14:textId="77777777">
        <w:trPr>
          <w:cantSplit/>
          <w:jc w:val="center"/>
        </w:trPr>
        <w:tc>
          <w:tcPr>
            <w:tcW w:w="3402" w:type="dxa"/>
            <w:shd w:val="clear" w:color="auto" w:fill="2F8F98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5B8D7AD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Relatórios</w:t>
            </w:r>
            <w:proofErr w:type="spellEnd"/>
            <w:r>
              <w:rPr>
                <w:b/>
                <w:color w:val="FFFFFF"/>
                <w:sz w:val="16"/>
              </w:rPr>
              <w:t xml:space="preserve"> e </w:t>
            </w:r>
            <w:proofErr w:type="spellStart"/>
            <w:r>
              <w:rPr>
                <w:b/>
                <w:color w:val="FFFFFF"/>
                <w:sz w:val="16"/>
              </w:rPr>
              <w:t>laudos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técnicos</w:t>
            </w:r>
            <w:proofErr w:type="spellEnd"/>
          </w:p>
        </w:tc>
        <w:tc>
          <w:tcPr>
            <w:tcW w:w="7030" w:type="dxa"/>
            <w:shd w:val="clear" w:color="auto" w:fill="FFFFFF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F36C331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6"/>
                <w:lang w:val="pt-BR"/>
              </w:rPr>
              <w:t>Disponíveis conforme aplicação, projeto ou solicitação ao suporte técnico.</w:t>
            </w:r>
          </w:p>
        </w:tc>
      </w:tr>
      <w:tr w:rsidR="00AD75CC" w14:paraId="3539F834" w14:textId="77777777">
        <w:trPr>
          <w:cantSplit/>
          <w:jc w:val="center"/>
        </w:trPr>
        <w:tc>
          <w:tcPr>
            <w:tcW w:w="3402" w:type="dxa"/>
            <w:shd w:val="clear" w:color="auto" w:fill="2F8F98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CE8568F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Suporte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técnico</w:t>
            </w:r>
            <w:proofErr w:type="spellEnd"/>
            <w:r>
              <w:rPr>
                <w:b/>
                <w:color w:val="FFFFFF"/>
                <w:sz w:val="16"/>
              </w:rPr>
              <w:t xml:space="preserve"> STS Innovations</w:t>
            </w:r>
          </w:p>
        </w:tc>
        <w:tc>
          <w:tcPr>
            <w:tcW w:w="7030" w:type="dxa"/>
            <w:shd w:val="clear" w:color="auto" w:fill="F5F8F7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84DA183" w14:textId="77777777" w:rsidR="00AD75CC" w:rsidRDefault="009A7AEC">
            <w:pPr>
              <w:spacing w:after="0" w:line="240" w:lineRule="auto"/>
              <w:rPr>
                <w:rFonts w:hint="eastAsia"/>
              </w:rPr>
            </w:pPr>
            <w:r>
              <w:rPr>
                <w:color w:val="31383A"/>
                <w:sz w:val="16"/>
              </w:rPr>
              <w:t>contato@sts-innovations.com | +55 21 97448-8721 | www.sts-innovations.com</w:t>
            </w:r>
          </w:p>
        </w:tc>
      </w:tr>
    </w:tbl>
    <w:p w14:paraId="0BF3C606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>
        <w:rPr>
          <w:rFonts w:ascii="Aptos Display" w:hAnsi="Aptos Display"/>
          <w:b/>
          <w:color w:val="2F8F98"/>
          <w:sz w:val="26"/>
          <w:lang w:val="pt-BR"/>
        </w:rPr>
        <w:t>CONTROLE DE REVISÃO</w:t>
      </w:r>
    </w:p>
    <w:tbl>
      <w:tblPr>
        <w:tblW w:w="10432" w:type="dxa"/>
        <w:jc w:val="center"/>
        <w:tblBorders>
          <w:top w:val="single" w:sz="5" w:space="0" w:color="B7D2D0"/>
          <w:left w:val="single" w:sz="5" w:space="0" w:color="B7D2D0"/>
          <w:bottom w:val="single" w:sz="5" w:space="0" w:color="B7D2D0"/>
          <w:right w:val="single" w:sz="5" w:space="0" w:color="B7D2D0"/>
          <w:insideH w:val="single" w:sz="5" w:space="0" w:color="B7D2D0"/>
          <w:insideV w:val="single" w:sz="5" w:space="0" w:color="B7D2D0"/>
        </w:tblBorders>
        <w:tblLayout w:type="fixed"/>
        <w:tblLook w:val="04A0" w:firstRow="1" w:lastRow="0" w:firstColumn="1" w:lastColumn="0" w:noHBand="0" w:noVBand="1"/>
      </w:tblPr>
      <w:tblGrid>
        <w:gridCol w:w="1248"/>
        <w:gridCol w:w="1814"/>
        <w:gridCol w:w="2664"/>
        <w:gridCol w:w="4706"/>
      </w:tblGrid>
      <w:tr w:rsidR="00AD75CC" w14:paraId="403D6A86" w14:textId="77777777">
        <w:trPr>
          <w:cantSplit/>
          <w:tblHeader/>
          <w:jc w:val="center"/>
        </w:trPr>
        <w:tc>
          <w:tcPr>
            <w:tcW w:w="1247" w:type="dxa"/>
            <w:shd w:val="clear" w:color="auto" w:fill="184A5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009392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Revisão</w:t>
            </w:r>
          </w:p>
        </w:tc>
        <w:tc>
          <w:tcPr>
            <w:tcW w:w="1814" w:type="dxa"/>
            <w:shd w:val="clear" w:color="auto" w:fill="184A5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2A1525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Data</w:t>
            </w:r>
          </w:p>
        </w:tc>
        <w:tc>
          <w:tcPr>
            <w:tcW w:w="2664" w:type="dxa"/>
            <w:shd w:val="clear" w:color="auto" w:fill="184A5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79DC65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Responsável</w:t>
            </w:r>
          </w:p>
        </w:tc>
        <w:tc>
          <w:tcPr>
            <w:tcW w:w="4706" w:type="dxa"/>
            <w:shd w:val="clear" w:color="auto" w:fill="184A5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08F220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Descrição da alteração</w:t>
            </w:r>
          </w:p>
        </w:tc>
      </w:tr>
      <w:tr w:rsidR="00AD75CC" w:rsidRPr="00926B7F" w14:paraId="58A8514C" w14:textId="77777777">
        <w:trPr>
          <w:cantSplit/>
          <w:jc w:val="center"/>
        </w:trPr>
        <w:tc>
          <w:tcPr>
            <w:tcW w:w="1247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0F2C79AA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00</w:t>
            </w:r>
          </w:p>
        </w:tc>
        <w:tc>
          <w:tcPr>
            <w:tcW w:w="1814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8442036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Julho/2026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8948CF6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STS Innovations</w:t>
            </w:r>
          </w:p>
        </w:tc>
        <w:tc>
          <w:tcPr>
            <w:tcW w:w="4706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65F08EEF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Emissão inicial do boletim técnico.</w:t>
            </w:r>
          </w:p>
        </w:tc>
      </w:tr>
      <w:tr w:rsidR="00AD75CC" w:rsidRPr="00926B7F" w14:paraId="66D6AF9E" w14:textId="77777777">
        <w:trPr>
          <w:cantSplit/>
          <w:jc w:val="center"/>
        </w:trPr>
        <w:tc>
          <w:tcPr>
            <w:tcW w:w="1247" w:type="dxa"/>
            <w:shd w:val="clear" w:color="auto" w:fill="F5F8F7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C43AEB8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01</w:t>
            </w:r>
          </w:p>
        </w:tc>
        <w:tc>
          <w:tcPr>
            <w:tcW w:w="1814" w:type="dxa"/>
            <w:shd w:val="clear" w:color="auto" w:fill="F5F8F7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B92A814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Julho/2026</w:t>
            </w:r>
          </w:p>
        </w:tc>
        <w:tc>
          <w:tcPr>
            <w:tcW w:w="2664" w:type="dxa"/>
            <w:shd w:val="clear" w:color="auto" w:fill="F5F8F7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2446DBF0" w14:textId="77777777" w:rsidR="00AD75CC" w:rsidRDefault="009A7AEC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31383A"/>
                <w:sz w:val="15"/>
              </w:rPr>
              <w:t>STS Innovations</w:t>
            </w:r>
          </w:p>
        </w:tc>
        <w:tc>
          <w:tcPr>
            <w:tcW w:w="4706" w:type="dxa"/>
            <w:shd w:val="clear" w:color="auto" w:fill="F5F8F7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4D704367" w14:textId="77777777" w:rsidR="00AD75CC" w:rsidRPr="00926B7F" w:rsidRDefault="009A7AEC">
            <w:pPr>
              <w:spacing w:after="0" w:line="240" w:lineRule="auto"/>
              <w:rPr>
                <w:rFonts w:hint="eastAsia"/>
                <w:lang w:val="pt-BR"/>
              </w:rPr>
            </w:pPr>
            <w:r w:rsidRPr="00926B7F">
              <w:rPr>
                <w:color w:val="31383A"/>
                <w:sz w:val="15"/>
                <w:lang w:val="pt-BR"/>
              </w:rPr>
              <w:t>Revisão das propriedades físico-químicas e complementação conforme o modelo-mestre.</w:t>
            </w:r>
          </w:p>
        </w:tc>
      </w:tr>
      <w:tr w:rsidR="00AD75CC" w:rsidRPr="00926B7F" w14:paraId="587E5DED" w14:textId="77777777">
        <w:trPr>
          <w:cantSplit/>
          <w:jc w:val="center"/>
        </w:trPr>
        <w:tc>
          <w:tcPr>
            <w:tcW w:w="1247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51C1B23" w14:textId="77777777" w:rsidR="0048413E" w:rsidRDefault="00A915FA">
            <w:pPr>
              <w:spacing w:after="0"/>
              <w:jc w:val="center"/>
              <w:rPr>
                <w:rFonts w:hint="eastAsia"/>
              </w:rPr>
            </w:pPr>
            <w:r>
              <w:t>02</w:t>
            </w:r>
          </w:p>
        </w:tc>
        <w:tc>
          <w:tcPr>
            <w:tcW w:w="1814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3249E648" w14:textId="77777777" w:rsidR="0048413E" w:rsidRDefault="00A915FA">
            <w:pPr>
              <w:spacing w:after="0"/>
              <w:jc w:val="center"/>
              <w:rPr>
                <w:rFonts w:hint="eastAsia"/>
              </w:rPr>
            </w:pPr>
            <w:r>
              <w:t>Setembro/2026</w:t>
            </w:r>
          </w:p>
        </w:tc>
        <w:tc>
          <w:tcPr>
            <w:tcW w:w="2664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58142675" w14:textId="77777777" w:rsidR="0048413E" w:rsidRDefault="00A915FA">
            <w:pPr>
              <w:spacing w:after="0"/>
              <w:jc w:val="center"/>
              <w:rPr>
                <w:rFonts w:hint="eastAsia"/>
              </w:rPr>
            </w:pPr>
            <w:r>
              <w:t>STS Innovations</w:t>
            </w:r>
          </w:p>
        </w:tc>
        <w:tc>
          <w:tcPr>
            <w:tcW w:w="4706" w:type="dxa"/>
            <w:shd w:val="clear" w:color="auto" w:fill="FFFFFF"/>
            <w:tcMar>
              <w:top w:w="55" w:type="dxa"/>
              <w:left w:w="110" w:type="dxa"/>
              <w:bottom w:w="55" w:type="dxa"/>
              <w:right w:w="110" w:type="dxa"/>
            </w:tcMar>
            <w:vAlign w:val="center"/>
          </w:tcPr>
          <w:p w14:paraId="1814293A" w14:textId="77777777" w:rsidR="0048413E" w:rsidRDefault="00A915FA">
            <w:pPr>
              <w:spacing w:after="0"/>
              <w:rPr>
                <w:rFonts w:hint="eastAsia"/>
              </w:rPr>
            </w:pPr>
            <w:r>
              <w:t xml:space="preserve">Revisão </w:t>
            </w:r>
            <w:r>
              <w:t>editorial, correção de nomenclatura, padronização do alinhamento e melhorias de acessibilidade.</w:t>
            </w:r>
          </w:p>
        </w:tc>
      </w:tr>
    </w:tbl>
    <w:p w14:paraId="02E62E5C" w14:textId="77777777" w:rsidR="006F1F01" w:rsidRPr="006B2AFF" w:rsidRDefault="000654D0">
      <w:pPr>
        <w:keepNext/>
        <w:pBdr>
          <w:bottom w:val="single" w:sz="12" w:space="3" w:color="2B8A68"/>
        </w:pBdr>
        <w:spacing w:before="80" w:after="60"/>
        <w:outlineLvl w:val="0"/>
        <w:rPr>
          <w:rFonts w:hint="eastAsia"/>
          <w:lang w:val="pt-BR"/>
        </w:rPr>
      </w:pPr>
      <w:r w:rsidRPr="006B2AFF">
        <w:rPr>
          <w:rFonts w:ascii="Aptos Display" w:hAnsi="Aptos Display"/>
          <w:b/>
          <w:color w:val="2F8F98"/>
          <w:sz w:val="26"/>
          <w:lang w:val="pt-BR"/>
        </w:rPr>
        <w:t>LIMITAÇÕES E RESPONSABILIDADE TÉCNICA</w:t>
      </w:r>
    </w:p>
    <w:p w14:paraId="538D2A0E" w14:textId="77777777" w:rsidR="006F1F01" w:rsidRPr="00926B7F" w:rsidRDefault="000654D0">
      <w:pPr>
        <w:spacing w:after="0" w:line="245" w:lineRule="auto"/>
        <w:jc w:val="both"/>
        <w:rPr>
          <w:rFonts w:hint="eastAsia"/>
          <w:lang w:val="pt-BR"/>
        </w:rPr>
      </w:pPr>
      <w:r w:rsidRPr="00926B7F">
        <w:rPr>
          <w:color w:val="31383A"/>
          <w:lang w:val="pt-BR"/>
        </w:rPr>
        <w:t xml:space="preserve">O desempenho do </w:t>
      </w:r>
      <w:proofErr w:type="spellStart"/>
      <w:r w:rsidRPr="00926B7F">
        <w:rPr>
          <w:color w:val="31383A"/>
          <w:lang w:val="pt-BR"/>
        </w:rPr>
        <w:t>AditGreen</w:t>
      </w:r>
      <w:proofErr w:type="spellEnd"/>
      <w:r w:rsidRPr="00926B7F">
        <w:rPr>
          <w:color w:val="31383A"/>
          <w:lang w:val="pt-BR"/>
        </w:rPr>
        <w:t>® depende da cultura, do produto associado, da qualidade da água, da dose, do volume de calda, do equipamento, da tecnologia de aplicação e das condições ambientais. Este boletim não substitui rótulos, bulas, prescrições agronômicas ou a orientação do responsável técnico. Realizar teste prévio de compatibilidade e aplicação antes da adoção em larga escala. A versão mais recente deste documento substitui as versões anteriores.</w:t>
      </w:r>
    </w:p>
    <w:sectPr w:rsidR="006F1F01" w:rsidRPr="00926B7F" w:rsidSect="00034616">
      <w:headerReference w:type="default" r:id="rId9"/>
      <w:footerReference w:type="default" r:id="rId10"/>
      <w:pgSz w:w="12240" w:h="15840"/>
      <w:pgMar w:top="595" w:right="822" w:bottom="59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19C63" w14:textId="77777777" w:rsidR="00A915FA" w:rsidRDefault="00A915F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AF08A84" w14:textId="77777777" w:rsidR="00A915FA" w:rsidRDefault="00A915F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F938A" w14:textId="77777777" w:rsidR="006F1F01" w:rsidRPr="006B2AFF" w:rsidRDefault="000654D0">
    <w:pPr>
      <w:pStyle w:val="Rodap"/>
      <w:jc w:val="center"/>
      <w:rPr>
        <w:rFonts w:hint="eastAsia"/>
        <w:lang w:val="pt-BR"/>
      </w:rPr>
    </w:pPr>
    <w:r w:rsidRPr="006B2AFF">
      <w:rPr>
        <w:color w:val="5B6467"/>
        <w:sz w:val="14"/>
        <w:lang w:val="pt-BR"/>
      </w:rPr>
      <w:t xml:space="preserve">STS </w:t>
    </w:r>
    <w:proofErr w:type="spellStart"/>
    <w:proofErr w:type="gramStart"/>
    <w:r w:rsidRPr="006B2AFF">
      <w:rPr>
        <w:color w:val="5B6467"/>
        <w:sz w:val="14"/>
        <w:lang w:val="pt-BR"/>
      </w:rPr>
      <w:t>Innovations</w:t>
    </w:r>
    <w:proofErr w:type="spellEnd"/>
    <w:r w:rsidRPr="006B2AFF">
      <w:rPr>
        <w:color w:val="5B6467"/>
        <w:sz w:val="14"/>
        <w:lang w:val="pt-BR"/>
      </w:rPr>
      <w:t xml:space="preserve">  •</w:t>
    </w:r>
    <w:proofErr w:type="gramEnd"/>
    <w:r w:rsidRPr="006B2AFF">
      <w:rPr>
        <w:color w:val="5B6467"/>
        <w:sz w:val="14"/>
        <w:lang w:val="pt-BR"/>
      </w:rPr>
      <w:t xml:space="preserve">  contato@sts-innovations.com  •  +55 21 97448-8721  •  www.sts-innovations.com</w:t>
    </w:r>
    <w:r w:rsidRPr="006B2AFF">
      <w:rPr>
        <w:lang w:val="pt-BR"/>
      </w:rPr>
      <w:br/>
    </w:r>
    <w:r w:rsidRPr="006B2AFF">
      <w:rPr>
        <w:i/>
        <w:color w:val="5B6467"/>
        <w:sz w:val="13"/>
        <w:lang w:val="pt-BR"/>
      </w:rPr>
      <w:t>A versão mais recente deste documento substitui as versões anteriores. Consulte a Ficha com Dados de Segurança antes do uso.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7FDE4" w14:textId="77777777" w:rsidR="00A915FA" w:rsidRDefault="00A915F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0DB22B" w14:textId="77777777" w:rsidR="00A915FA" w:rsidRDefault="00A915F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DFF1B" w14:textId="77777777" w:rsidR="006F1F01" w:rsidRDefault="006F1F01">
    <w:pPr>
      <w:pStyle w:val="Cabealho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2835"/>
      <w:gridCol w:w="7370"/>
    </w:tblGrid>
    <w:tr w:rsidR="006F1F01" w:rsidRPr="00926B7F" w14:paraId="1681837E" w14:textId="77777777">
      <w:trPr>
        <w:jc w:val="center"/>
      </w:trPr>
      <w:tc>
        <w:tcPr>
          <w:tcW w:w="2835" w:type="dxa"/>
        </w:tcPr>
        <w:p w14:paraId="1C60819B" w14:textId="77777777" w:rsidR="006F1F01" w:rsidRDefault="000654D0">
          <w:pPr>
            <w:rPr>
              <w:rFonts w:hint="eastAsia"/>
            </w:rPr>
          </w:pPr>
          <w:r>
            <w:rPr>
              <w:noProof/>
            </w:rPr>
            <w:drawing>
              <wp:inline distT="0" distB="0" distL="0" distR="0" wp14:anchorId="52FE5A83" wp14:editId="02E331EE">
                <wp:extent cx="1188000" cy="1188000"/>
                <wp:effectExtent l="0" t="0" r="0" b="0"/>
                <wp:docPr id="7" name="Picture 1" descr="Logotipo da STS Innovations" title="Logotipo da STS Innovatio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vetorizada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118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0" w:type="dxa"/>
        </w:tcPr>
        <w:p w14:paraId="3D58E622" w14:textId="77777777" w:rsidR="006F1F01" w:rsidRPr="006B2AFF" w:rsidRDefault="000654D0">
          <w:pPr>
            <w:spacing w:after="0"/>
            <w:jc w:val="right"/>
            <w:rPr>
              <w:rFonts w:hint="eastAsia"/>
              <w:lang w:val="pt-BR"/>
            </w:rPr>
          </w:pPr>
          <w:r w:rsidRPr="00926B7F">
            <w:rPr>
              <w:rFonts w:ascii="Aptos Display" w:hAnsi="Aptos Display"/>
              <w:b/>
              <w:color w:val="184A52"/>
              <w:sz w:val="24"/>
              <w:lang w:val="pt-BR"/>
            </w:rPr>
            <w:t>BOLETIM TÉCNICO</w:t>
          </w:r>
          <w:r w:rsidRPr="00926B7F">
            <w:rPr>
              <w:rFonts w:ascii="Aptos Display" w:hAnsi="Aptos Display"/>
              <w:b/>
              <w:color w:val="184A52"/>
              <w:sz w:val="24"/>
              <w:lang w:val="pt-BR"/>
            </w:rPr>
            <w:br/>
          </w:r>
          <w:r w:rsidRPr="00926B7F">
            <w:rPr>
              <w:color w:val="5B6467"/>
              <w:sz w:val="16"/>
              <w:lang w:val="pt-BR"/>
            </w:rPr>
            <w:t>BT-STS-AGRO-001  |  Revisão 02  |  Setembro/2026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4D0"/>
    <w:rsid w:val="0015074B"/>
    <w:rsid w:val="0029639D"/>
    <w:rsid w:val="00326F90"/>
    <w:rsid w:val="00351872"/>
    <w:rsid w:val="0048413E"/>
    <w:rsid w:val="006B2AFF"/>
    <w:rsid w:val="006F1F01"/>
    <w:rsid w:val="00867D45"/>
    <w:rsid w:val="00926B7F"/>
    <w:rsid w:val="00974795"/>
    <w:rsid w:val="009A7AEC"/>
    <w:rsid w:val="00A915FA"/>
    <w:rsid w:val="00A97C96"/>
    <w:rsid w:val="00AA1D8D"/>
    <w:rsid w:val="00AD75CC"/>
    <w:rsid w:val="00B47730"/>
    <w:rsid w:val="00CB0664"/>
    <w:rsid w:val="00D74F88"/>
    <w:rsid w:val="00EB167A"/>
    <w:rsid w:val="00EC39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03FAF"/>
  <w14:defaultImageDpi w14:val="300"/>
  <w15:docId w15:val="{C3114F97-B34F-446B-B8E2-18CF29068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1734</Words>
  <Characters>9367</Characters>
  <Application>Microsoft Office Word</Application>
  <DocSecurity>0</DocSecurity>
  <Lines>78</Lines>
  <Paragraphs>22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Boletim Técnico AditGreen - STS Innovations</vt:lpstr>
      <vt:lpstr/>
    </vt:vector>
  </TitlesOfParts>
  <Manager/>
  <Company/>
  <LinksUpToDate>false</LinksUpToDate>
  <CharactersWithSpaces>11079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Boletim Técnico AditGreen - STS Innovations</dc:title>
  <dc:subject>Adjuvante agrícola multifuncional de base biológica</dc:subject>
  <dc:creator>STS Innovations</dc:creator>
  <cp:keywords>AditGreen, adjuvante agrícola, base biológica, economia circular</cp:keywords>
  <dc:description>generated by python-docx</dc:description>
  <cp:lastModifiedBy>André Oliveira Menezes</cp:lastModifiedBy>
  <cp:revision>2</cp:revision>
  <dcterms:created xsi:type="dcterms:W3CDTF">2026-09-08T13:52:00Z</dcterms:created>
  <dcterms:modified xsi:type="dcterms:W3CDTF">2026-09-08T13:52:00Z</dcterms:modified>
  <cp:category/>
</cp:coreProperties>
</file>